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547FE" w14:paraId="4FBC66CE" w14:textId="77777777" w:rsidTr="00345119">
        <w:tc>
          <w:tcPr>
            <w:tcW w:w="9576" w:type="dxa"/>
            <w:noWrap/>
          </w:tcPr>
          <w:p w14:paraId="7DE83168" w14:textId="77777777" w:rsidR="008423E4" w:rsidRPr="0022177D" w:rsidRDefault="006255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C0C8C7" w14:textId="77777777" w:rsidR="008423E4" w:rsidRPr="0022177D" w:rsidRDefault="008423E4" w:rsidP="008423E4">
      <w:pPr>
        <w:jc w:val="center"/>
      </w:pPr>
    </w:p>
    <w:p w14:paraId="43E328E6" w14:textId="77777777" w:rsidR="008423E4" w:rsidRPr="00B31F0E" w:rsidRDefault="008423E4" w:rsidP="008423E4"/>
    <w:p w14:paraId="7CA4D8A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7FE" w14:paraId="445DAB45" w14:textId="77777777" w:rsidTr="00345119">
        <w:tc>
          <w:tcPr>
            <w:tcW w:w="9576" w:type="dxa"/>
          </w:tcPr>
          <w:p w14:paraId="5B180AA8" w14:textId="77777777" w:rsidR="008423E4" w:rsidRPr="00861995" w:rsidRDefault="006255C1" w:rsidP="00345119">
            <w:pPr>
              <w:jc w:val="right"/>
            </w:pPr>
            <w:r>
              <w:t>C.S.H.B. 4618</w:t>
            </w:r>
          </w:p>
        </w:tc>
      </w:tr>
      <w:tr w:rsidR="007547FE" w14:paraId="4B390377" w14:textId="77777777" w:rsidTr="00345119">
        <w:tc>
          <w:tcPr>
            <w:tcW w:w="9576" w:type="dxa"/>
          </w:tcPr>
          <w:p w14:paraId="5880408B" w14:textId="77777777" w:rsidR="008423E4" w:rsidRPr="00861995" w:rsidRDefault="006255C1" w:rsidP="00345119">
            <w:pPr>
              <w:jc w:val="right"/>
            </w:pPr>
            <w:r>
              <w:t xml:space="preserve">By: </w:t>
            </w:r>
            <w:r w:rsidR="00811D02">
              <w:t>Zwiener</w:t>
            </w:r>
          </w:p>
        </w:tc>
      </w:tr>
      <w:tr w:rsidR="007547FE" w14:paraId="6737D190" w14:textId="77777777" w:rsidTr="00345119">
        <w:tc>
          <w:tcPr>
            <w:tcW w:w="9576" w:type="dxa"/>
          </w:tcPr>
          <w:p w14:paraId="6546C671" w14:textId="77777777" w:rsidR="008423E4" w:rsidRPr="00861995" w:rsidRDefault="006255C1" w:rsidP="00345119">
            <w:pPr>
              <w:jc w:val="right"/>
            </w:pPr>
            <w:r>
              <w:t>Natural Resources</w:t>
            </w:r>
          </w:p>
        </w:tc>
      </w:tr>
      <w:tr w:rsidR="007547FE" w14:paraId="44A0BAF7" w14:textId="77777777" w:rsidTr="00345119">
        <w:tc>
          <w:tcPr>
            <w:tcW w:w="9576" w:type="dxa"/>
          </w:tcPr>
          <w:p w14:paraId="636F6C75" w14:textId="77777777" w:rsidR="008423E4" w:rsidRDefault="006255C1" w:rsidP="00345119">
            <w:pPr>
              <w:jc w:val="right"/>
            </w:pPr>
            <w:r>
              <w:t>Committee Report (Substituted)</w:t>
            </w:r>
          </w:p>
        </w:tc>
      </w:tr>
    </w:tbl>
    <w:p w14:paraId="6531763C" w14:textId="77777777" w:rsidR="008423E4" w:rsidRDefault="008423E4" w:rsidP="008423E4">
      <w:pPr>
        <w:tabs>
          <w:tab w:val="right" w:pos="9360"/>
        </w:tabs>
      </w:pPr>
    </w:p>
    <w:p w14:paraId="3591DA34" w14:textId="77777777" w:rsidR="008423E4" w:rsidRDefault="008423E4" w:rsidP="008423E4"/>
    <w:p w14:paraId="376CC0C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547FE" w14:paraId="2BDF80B1" w14:textId="77777777" w:rsidTr="00345119">
        <w:tc>
          <w:tcPr>
            <w:tcW w:w="9576" w:type="dxa"/>
          </w:tcPr>
          <w:p w14:paraId="622C5B7F" w14:textId="77777777" w:rsidR="008423E4" w:rsidRPr="00A8133F" w:rsidRDefault="006255C1" w:rsidP="0032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BF02BC" w14:textId="77777777" w:rsidR="008423E4" w:rsidRDefault="008423E4" w:rsidP="00326D0F"/>
          <w:p w14:paraId="6CD8B9D7" w14:textId="250B1C05" w:rsidR="008423E4" w:rsidRDefault="006255C1" w:rsidP="00326D0F">
            <w:pPr>
              <w:pStyle w:val="Header"/>
              <w:jc w:val="both"/>
            </w:pPr>
            <w:r>
              <w:t xml:space="preserve">The Hays Trinity Groundwater Conservation District exists to protect water wells and groundwater within western Hays County, but population growth in the area </w:t>
            </w:r>
            <w:r w:rsidR="00100236">
              <w:t xml:space="preserve">is </w:t>
            </w:r>
            <w:r>
              <w:t xml:space="preserve">starting to strain permitted water use and the district. The district's enabling legislation </w:t>
            </w:r>
            <w:r w:rsidR="00100236">
              <w:t>provides</w:t>
            </w:r>
            <w:r>
              <w:t xml:space="preserve"> limited funding mechanisms, restricting the </w:t>
            </w:r>
            <w:r w:rsidR="001D23DE">
              <w:t xml:space="preserve">district's </w:t>
            </w:r>
            <w:r>
              <w:t>ability to raise revenue</w:t>
            </w:r>
            <w:r w:rsidR="00100236">
              <w:t xml:space="preserve"> that is</w:t>
            </w:r>
            <w:r>
              <w:t xml:space="preserve"> needed to manage the groundwater for the</w:t>
            </w:r>
            <w:r w:rsidR="00100236">
              <w:t xml:space="preserve"> area's growing </w:t>
            </w:r>
            <w:r>
              <w:t>population.</w:t>
            </w:r>
            <w:r w:rsidR="00D04453">
              <w:t xml:space="preserve"> </w:t>
            </w:r>
            <w:r w:rsidR="00100236">
              <w:t xml:space="preserve">C.S.H.B. 4618 seeks to address this issue by providing for the district's </w:t>
            </w:r>
            <w:r w:rsidR="00100236" w:rsidRPr="00100236">
              <w:t>water utility service connection fee</w:t>
            </w:r>
            <w:r w:rsidR="00100236">
              <w:t xml:space="preserve">s to be based on </w:t>
            </w:r>
            <w:r>
              <w:t xml:space="preserve">meter size </w:t>
            </w:r>
            <w:r w:rsidR="00100236">
              <w:t>in order to</w:t>
            </w:r>
            <w:r w:rsidR="00D04453">
              <w:t xml:space="preserve"> raise revenue that will</w:t>
            </w:r>
            <w:r w:rsidR="00100236">
              <w:t xml:space="preserve"> allow the district to</w:t>
            </w:r>
            <w:r>
              <w:t xml:space="preserve"> ensure efficient and sustainable groundwater use within </w:t>
            </w:r>
            <w:r w:rsidR="00D04453">
              <w:t>the</w:t>
            </w:r>
            <w:r w:rsidR="00100236">
              <w:t xml:space="preserve"> area</w:t>
            </w:r>
            <w:r w:rsidR="00D04453">
              <w:t>.</w:t>
            </w:r>
          </w:p>
          <w:p w14:paraId="515E5B40" w14:textId="77777777" w:rsidR="008423E4" w:rsidRPr="00E26B13" w:rsidRDefault="008423E4" w:rsidP="00326D0F">
            <w:pPr>
              <w:rPr>
                <w:b/>
              </w:rPr>
            </w:pPr>
          </w:p>
        </w:tc>
      </w:tr>
      <w:tr w:rsidR="007547FE" w14:paraId="472A858D" w14:textId="77777777" w:rsidTr="00345119">
        <w:tc>
          <w:tcPr>
            <w:tcW w:w="9576" w:type="dxa"/>
          </w:tcPr>
          <w:p w14:paraId="3858C2FE" w14:textId="77777777" w:rsidR="0017725B" w:rsidRDefault="006255C1" w:rsidP="00326D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3D690F" w14:textId="77777777" w:rsidR="0017725B" w:rsidRDefault="0017725B" w:rsidP="00326D0F">
            <w:pPr>
              <w:rPr>
                <w:b/>
                <w:u w:val="single"/>
              </w:rPr>
            </w:pPr>
          </w:p>
          <w:p w14:paraId="0EF435AD" w14:textId="77777777" w:rsidR="00FC3E0B" w:rsidRPr="00FC3E0B" w:rsidRDefault="006255C1" w:rsidP="00326D0F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9BBDD6D" w14:textId="77777777" w:rsidR="0017725B" w:rsidRPr="0017725B" w:rsidRDefault="0017725B" w:rsidP="00326D0F">
            <w:pPr>
              <w:rPr>
                <w:b/>
                <w:u w:val="single"/>
              </w:rPr>
            </w:pPr>
          </w:p>
        </w:tc>
      </w:tr>
      <w:tr w:rsidR="007547FE" w14:paraId="3A2A5131" w14:textId="77777777" w:rsidTr="00345119">
        <w:tc>
          <w:tcPr>
            <w:tcW w:w="9576" w:type="dxa"/>
          </w:tcPr>
          <w:p w14:paraId="45523BBA" w14:textId="77777777" w:rsidR="008423E4" w:rsidRPr="00A8133F" w:rsidRDefault="006255C1" w:rsidP="0032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CA2FAD" w14:textId="77777777" w:rsidR="008423E4" w:rsidRDefault="008423E4" w:rsidP="00326D0F"/>
          <w:p w14:paraId="2D93E946" w14:textId="77777777" w:rsidR="00FC3E0B" w:rsidRDefault="006255C1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1E68EBC9" w14:textId="77777777" w:rsidR="008423E4" w:rsidRPr="00E21FDC" w:rsidRDefault="008423E4" w:rsidP="00326D0F">
            <w:pPr>
              <w:rPr>
                <w:b/>
              </w:rPr>
            </w:pPr>
          </w:p>
        </w:tc>
      </w:tr>
      <w:tr w:rsidR="007547FE" w14:paraId="6902A4A8" w14:textId="77777777" w:rsidTr="00345119">
        <w:tc>
          <w:tcPr>
            <w:tcW w:w="9576" w:type="dxa"/>
          </w:tcPr>
          <w:p w14:paraId="0479901C" w14:textId="77777777" w:rsidR="008423E4" w:rsidRPr="00A8133F" w:rsidRDefault="006255C1" w:rsidP="0032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9A2457" w14:textId="77777777" w:rsidR="008423E4" w:rsidRDefault="008423E4" w:rsidP="00326D0F"/>
          <w:p w14:paraId="2270F0DA" w14:textId="77777777" w:rsidR="008423E4" w:rsidRDefault="006255C1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4618 amends the </w:t>
            </w:r>
            <w:r w:rsidRPr="000C2012">
              <w:t>Special District Local Laws Code</w:t>
            </w:r>
            <w:r>
              <w:t xml:space="preserve"> to change the terms of the </w:t>
            </w:r>
            <w:r>
              <w:t xml:space="preserve">directors of the </w:t>
            </w:r>
            <w:r w:rsidRPr="000C2012">
              <w:t>Hays Trinity Groundwater Conservation District</w:t>
            </w:r>
            <w:r>
              <w:t xml:space="preserve"> who are elected a</w:t>
            </w:r>
            <w:r w:rsidRPr="000C2012">
              <w:t>t the first election after the</w:t>
            </w:r>
            <w:r>
              <w:t xml:space="preserve"> revision of the district's</w:t>
            </w:r>
            <w:r w:rsidRPr="000C2012">
              <w:t xml:space="preserve"> single-member districts</w:t>
            </w:r>
            <w:r w:rsidR="00E40701">
              <w:t>,</w:t>
            </w:r>
            <w:r>
              <w:t xml:space="preserve"> as</w:t>
            </w:r>
            <w:r w:rsidR="00D957DF">
              <w:t xml:space="preserve"> those terms are</w:t>
            </w:r>
            <w:r>
              <w:t xml:space="preserve"> determined </w:t>
            </w:r>
            <w:r w:rsidR="00E40701">
              <w:t>by</w:t>
            </w:r>
            <w:r>
              <w:t xml:space="preserve"> the drawing of lots</w:t>
            </w:r>
            <w:r w:rsidR="00E40701">
              <w:t>,</w:t>
            </w:r>
            <w:r w:rsidRPr="000C2012">
              <w:t xml:space="preserve"> </w:t>
            </w:r>
            <w:r>
              <w:t>from two directors serving</w:t>
            </w:r>
            <w:r w:rsidRPr="000C2012">
              <w:t xml:space="preserve"> one-year te</w:t>
            </w:r>
            <w:r w:rsidRPr="000C2012">
              <w:t>rms and t</w:t>
            </w:r>
            <w:r>
              <w:t>hree directors serving</w:t>
            </w:r>
            <w:r w:rsidRPr="000C2012">
              <w:t xml:space="preserve"> </w:t>
            </w:r>
            <w:r w:rsidR="00F030AF" w:rsidRPr="00F030AF">
              <w:t>two-year</w:t>
            </w:r>
            <w:r w:rsidR="00F030AF">
              <w:t xml:space="preserve"> </w:t>
            </w:r>
            <w:r w:rsidRPr="000C2012">
              <w:t>terms</w:t>
            </w:r>
            <w:r>
              <w:t xml:space="preserve"> to </w:t>
            </w:r>
            <w:r w:rsidR="00F030AF">
              <w:t>two directors serving</w:t>
            </w:r>
            <w:r w:rsidRPr="000C2012">
              <w:t xml:space="preserve"> two-year terms and t</w:t>
            </w:r>
            <w:r w:rsidR="00F030AF">
              <w:t>hree directors serving</w:t>
            </w:r>
            <w:r w:rsidRPr="000C2012">
              <w:t xml:space="preserve"> four-year terms</w:t>
            </w:r>
            <w:r w:rsidR="00F030AF">
              <w:t>.</w:t>
            </w:r>
          </w:p>
          <w:p w14:paraId="61D4AD77" w14:textId="77777777" w:rsidR="00F030AF" w:rsidRDefault="00F030AF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0F9901" w14:textId="2AC17842" w:rsidR="00F030AF" w:rsidRDefault="006255C1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4618 removes the authorization for the district to </w:t>
            </w:r>
            <w:r w:rsidRPr="00F030AF">
              <w:t xml:space="preserve">levy and collect a water utility service connection fee </w:t>
            </w:r>
            <w:r w:rsidR="00A16CC2">
              <w:t xml:space="preserve">capped at </w:t>
            </w:r>
            <w:r w:rsidRPr="00F030AF">
              <w:t>$1,000 for each new water service connection made after September</w:t>
            </w:r>
            <w:r w:rsidR="00707BBD">
              <w:t> </w:t>
            </w:r>
            <w:r w:rsidRPr="00F030AF">
              <w:t>1,</w:t>
            </w:r>
            <w:r w:rsidR="003647B9">
              <w:t> </w:t>
            </w:r>
            <w:r w:rsidRPr="00F030AF">
              <w:t>2013.</w:t>
            </w:r>
            <w:r>
              <w:t xml:space="preserve"> The bill replaces that authorization with an authorization for the district to assess </w:t>
            </w:r>
            <w:r w:rsidRPr="00F030AF">
              <w:t>a water utility service connection fee</w:t>
            </w:r>
            <w:r>
              <w:t xml:space="preserve"> </w:t>
            </w:r>
            <w:r w:rsidRPr="00F030AF">
              <w:t>for each new water service connection made after Sept</w:t>
            </w:r>
            <w:r w:rsidRPr="00F030AF">
              <w:t>ember 1, 2021,</w:t>
            </w:r>
            <w:r>
              <w:t xml:space="preserve"> only</w:t>
            </w:r>
            <w:r w:rsidRPr="00F030AF">
              <w:t xml:space="preserve"> in accordance with </w:t>
            </w:r>
            <w:r>
              <w:t>a</w:t>
            </w:r>
            <w:r w:rsidRPr="00F030AF">
              <w:t xml:space="preserve"> schedule</w:t>
            </w:r>
            <w:r>
              <w:t xml:space="preserve"> set out by the bill that </w:t>
            </w:r>
            <w:r w:rsidR="00A16CC2">
              <w:t xml:space="preserve">provides for a range of maximum fees from </w:t>
            </w:r>
            <w:r w:rsidR="00A16CC2" w:rsidRPr="00A16CC2">
              <w:t>$1,000</w:t>
            </w:r>
            <w:r w:rsidR="00A16CC2">
              <w:t xml:space="preserve"> to </w:t>
            </w:r>
            <w:r w:rsidR="00A16CC2" w:rsidRPr="00A16CC2">
              <w:t>$12,500</w:t>
            </w:r>
            <w:r w:rsidR="00A16CC2">
              <w:t xml:space="preserve"> based on meter size.</w:t>
            </w:r>
          </w:p>
          <w:p w14:paraId="6C6D8EFB" w14:textId="77777777" w:rsidR="00A16CC2" w:rsidRDefault="00A16CC2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13284C" w14:textId="77777777" w:rsidR="00A16CC2" w:rsidRDefault="006255C1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4618 repeals </w:t>
            </w:r>
            <w:r w:rsidRPr="00A16CC2">
              <w:t>Section 8843.055, Special District Local Laws Code,</w:t>
            </w:r>
            <w:r>
              <w:t xml:space="preserve"> which requires </w:t>
            </w:r>
            <w:r w:rsidRPr="00A16CC2">
              <w:t xml:space="preserve">the Hays County Commissioners Court </w:t>
            </w:r>
            <w:r>
              <w:t>to</w:t>
            </w:r>
            <w:r w:rsidRPr="00A16CC2">
              <w:t xml:space="preserve"> appoint a director to serve the remainder of the term</w:t>
            </w:r>
            <w:r w:rsidR="00D957DF">
              <w:t xml:space="preserve"> of a vacant position on the </w:t>
            </w:r>
            <w:r w:rsidR="00D957DF" w:rsidRPr="00D957DF">
              <w:t>district's board of directors</w:t>
            </w:r>
            <w:r w:rsidRPr="00A16CC2">
              <w:t>.</w:t>
            </w:r>
          </w:p>
          <w:p w14:paraId="73FDC1D9" w14:textId="77777777" w:rsidR="00A16CC2" w:rsidRPr="00835628" w:rsidRDefault="00A16CC2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547FE" w14:paraId="622567CC" w14:textId="77777777" w:rsidTr="00345119">
        <w:tc>
          <w:tcPr>
            <w:tcW w:w="9576" w:type="dxa"/>
          </w:tcPr>
          <w:p w14:paraId="2573A091" w14:textId="77777777" w:rsidR="008423E4" w:rsidRPr="00A8133F" w:rsidRDefault="006255C1" w:rsidP="0032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E3A4DA" w14:textId="77777777" w:rsidR="008423E4" w:rsidRDefault="008423E4" w:rsidP="00326D0F"/>
          <w:p w14:paraId="3B3838A8" w14:textId="77777777" w:rsidR="008423E4" w:rsidRPr="003624F2" w:rsidRDefault="006255C1" w:rsidP="0032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6E2495D" w14:textId="77777777" w:rsidR="008423E4" w:rsidRPr="00233FDB" w:rsidRDefault="008423E4" w:rsidP="00326D0F">
            <w:pPr>
              <w:rPr>
                <w:b/>
              </w:rPr>
            </w:pPr>
          </w:p>
        </w:tc>
      </w:tr>
      <w:tr w:rsidR="007547FE" w14:paraId="76A472BE" w14:textId="77777777" w:rsidTr="00345119">
        <w:tc>
          <w:tcPr>
            <w:tcW w:w="9576" w:type="dxa"/>
          </w:tcPr>
          <w:p w14:paraId="500BF66B" w14:textId="77777777" w:rsidR="00811D02" w:rsidRDefault="006255C1" w:rsidP="00326D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C3BAF79" w14:textId="77777777" w:rsidR="0092207A" w:rsidRDefault="0092207A" w:rsidP="00326D0F">
            <w:pPr>
              <w:jc w:val="both"/>
            </w:pPr>
          </w:p>
          <w:p w14:paraId="667F6AAA" w14:textId="27F55665" w:rsidR="0092207A" w:rsidRDefault="006255C1" w:rsidP="00326D0F">
            <w:pPr>
              <w:jc w:val="both"/>
            </w:pPr>
            <w:r>
              <w:t>While C.S.H.B. 4618 may d</w:t>
            </w:r>
            <w:r>
              <w:t>iffer from the original in minor or nonsubstantive ways, the following summarizes the substantial differences between the introduced and committee substitute versions of the bill.</w:t>
            </w:r>
          </w:p>
          <w:p w14:paraId="0A003956" w14:textId="14273831" w:rsidR="0092207A" w:rsidRDefault="0092207A" w:rsidP="00326D0F">
            <w:pPr>
              <w:jc w:val="both"/>
            </w:pPr>
          </w:p>
          <w:p w14:paraId="3FA35EC8" w14:textId="69A02113" w:rsidR="0092207A" w:rsidRDefault="006255C1" w:rsidP="00326D0F">
            <w:pPr>
              <w:jc w:val="both"/>
            </w:pPr>
            <w:r>
              <w:t xml:space="preserve">The substitute does not include revisions made by the original to </w:t>
            </w:r>
            <w:r w:rsidR="00293434">
              <w:t>provisions relating to exempt wells.</w:t>
            </w:r>
          </w:p>
          <w:p w14:paraId="3F21CC84" w14:textId="03897F84" w:rsidR="00293434" w:rsidRDefault="00293434" w:rsidP="00326D0F">
            <w:pPr>
              <w:jc w:val="both"/>
            </w:pPr>
          </w:p>
          <w:p w14:paraId="649E8BB7" w14:textId="6A39E900" w:rsidR="0053589B" w:rsidRDefault="006255C1" w:rsidP="00326D0F">
            <w:pPr>
              <w:jc w:val="both"/>
            </w:pPr>
            <w:r>
              <w:t xml:space="preserve">The substitute differs from the original with regard to </w:t>
            </w:r>
            <w:r w:rsidRPr="0053589B">
              <w:t>water utility service connection fee</w:t>
            </w:r>
            <w:r>
              <w:t>s and the bill's schedule of maximum fees as follows:</w:t>
            </w:r>
          </w:p>
          <w:p w14:paraId="1A23D1FB" w14:textId="418F8664" w:rsidR="0053589B" w:rsidRDefault="006255C1" w:rsidP="00326D0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substitute provides for lower maximum fees than the original, except for the</w:t>
            </w:r>
            <w:r>
              <w:t xml:space="preserve"> meter size of </w:t>
            </w:r>
            <w:r w:rsidRPr="00D07F05">
              <w:t>five-eighths of an inch</w:t>
            </w:r>
            <w:r w:rsidR="00835A92">
              <w:t>,</w:t>
            </w:r>
            <w:r w:rsidR="007B7812">
              <w:t xml:space="preserve"> which is the same in both the original and substitute</w:t>
            </w:r>
            <w:r>
              <w:t>;</w:t>
            </w:r>
          </w:p>
          <w:p w14:paraId="30CF39EE" w14:textId="5FEE057F" w:rsidR="00D22321" w:rsidRDefault="006255C1" w:rsidP="00326D0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largest meter size in the substitute's schedule is four inches or larger</w:t>
            </w:r>
            <w:r w:rsidR="00260BC3">
              <w:t>,</w:t>
            </w:r>
            <w:r>
              <w:t xml:space="preserve"> whereas the original's schedule just specifies a largest meter size of four inches;</w:t>
            </w:r>
          </w:p>
          <w:p w14:paraId="3253E63A" w14:textId="19060B7A" w:rsidR="0053589B" w:rsidRDefault="006255C1" w:rsidP="00326D0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original provides for a multiplier value</w:t>
            </w:r>
            <w:r w:rsidR="00260BC3">
              <w:t>,</w:t>
            </w:r>
            <w:r>
              <w:t xml:space="preserve"> which the substitute does not include;</w:t>
            </w:r>
          </w:p>
          <w:p w14:paraId="4903C1F1" w14:textId="19BE1613" w:rsidR="0053589B" w:rsidRDefault="006255C1" w:rsidP="00326D0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 substitute does not include a provision included in the original capping the </w:t>
            </w:r>
            <w:r w:rsidRPr="0053589B">
              <w:t xml:space="preserve">fee for a meter size smaller than five-eighths of an inch </w:t>
            </w:r>
            <w:r>
              <w:t>at</w:t>
            </w:r>
            <w:r w:rsidRPr="0053589B">
              <w:t xml:space="preserve"> $1,000</w:t>
            </w:r>
            <w:r>
              <w:t>; and</w:t>
            </w:r>
          </w:p>
          <w:p w14:paraId="7C7A408B" w14:textId="1A950E89" w:rsidR="00D07F05" w:rsidRDefault="006255C1" w:rsidP="00326D0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substitute a</w:t>
            </w:r>
            <w:r>
              <w:t xml:space="preserve">pplies the schedule only to a </w:t>
            </w:r>
            <w:r w:rsidRPr="00D07F05">
              <w:t>new water service connection made after September 1, 2021</w:t>
            </w:r>
            <w:r>
              <w:t>, whereas the original does not make this</w:t>
            </w:r>
            <w:r w:rsidR="007B7812">
              <w:t xml:space="preserve"> applicability</w:t>
            </w:r>
            <w:r>
              <w:t xml:space="preserve"> specification.</w:t>
            </w:r>
          </w:p>
          <w:p w14:paraId="3D341E08" w14:textId="2155832E" w:rsidR="00D07F05" w:rsidRDefault="00D07F05" w:rsidP="00326D0F">
            <w:pPr>
              <w:jc w:val="both"/>
            </w:pPr>
          </w:p>
          <w:p w14:paraId="689631CF" w14:textId="5C3B0DB1" w:rsidR="007B7812" w:rsidRDefault="006255C1" w:rsidP="00326D0F">
            <w:pPr>
              <w:jc w:val="both"/>
            </w:pPr>
            <w:r>
              <w:t>The substitute does not include a removal in</w:t>
            </w:r>
            <w:r w:rsidR="00396BA5">
              <w:t>cluded in</w:t>
            </w:r>
            <w:r>
              <w:t xml:space="preserve"> the original of a prohibition against the </w:t>
            </w:r>
            <w:r>
              <w:t xml:space="preserve">district </w:t>
            </w:r>
            <w:r w:rsidRPr="007B7812">
              <w:t>assess</w:t>
            </w:r>
            <w:r>
              <w:t>ing</w:t>
            </w:r>
            <w:r w:rsidRPr="007B7812">
              <w:t xml:space="preserve"> or collect</w:t>
            </w:r>
            <w:r>
              <w:t>ing</w:t>
            </w:r>
            <w:r w:rsidRPr="007B7812">
              <w:t xml:space="preserve"> any fees except as authorized by </w:t>
            </w:r>
            <w:r>
              <w:t>specified provisions.</w:t>
            </w:r>
          </w:p>
          <w:p w14:paraId="4DE15E63" w14:textId="4766C038" w:rsidR="005E72C7" w:rsidRDefault="005E72C7" w:rsidP="00326D0F">
            <w:pPr>
              <w:jc w:val="both"/>
            </w:pPr>
          </w:p>
          <w:p w14:paraId="4BE8F292" w14:textId="7BCCD37C" w:rsidR="005E72C7" w:rsidRDefault="006255C1" w:rsidP="00326D0F">
            <w:pPr>
              <w:jc w:val="both"/>
            </w:pPr>
            <w:r>
              <w:t>The substitute</w:t>
            </w:r>
            <w:r w:rsidR="00BC5E3F">
              <w:t xml:space="preserve"> does not</w:t>
            </w:r>
            <w:r>
              <w:t xml:space="preserve"> include provisions included in the original that do the following:</w:t>
            </w:r>
          </w:p>
          <w:p w14:paraId="34816ADC" w14:textId="7253AA9B" w:rsidR="005E72C7" w:rsidRDefault="006255C1" w:rsidP="00326D0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authorize the district to assess production fees; </w:t>
            </w:r>
          </w:p>
          <w:p w14:paraId="5DE55488" w14:textId="00F8763B" w:rsidR="005E72C7" w:rsidRDefault="006255C1" w:rsidP="00326D0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prohibit the district fro</w:t>
            </w:r>
            <w:r>
              <w:t>m assessing production fees for water used for agricultural use; and</w:t>
            </w:r>
          </w:p>
          <w:p w14:paraId="384A3A59" w14:textId="0B55AC30" w:rsidR="005E72C7" w:rsidRDefault="006255C1" w:rsidP="00326D0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prohibit the district from charging for an annual period a production fee greater than 25</w:t>
            </w:r>
            <w:r w:rsidR="00B84C0F">
              <w:t> </w:t>
            </w:r>
            <w:r>
              <w:t>cents per 1,000 gallons authorized to be withdrawn under a permit issued by the district.</w:t>
            </w:r>
          </w:p>
          <w:p w14:paraId="4646A7A0" w14:textId="796762E6" w:rsidR="00D07F05" w:rsidRDefault="00D07F05" w:rsidP="00326D0F">
            <w:pPr>
              <w:jc w:val="both"/>
            </w:pPr>
          </w:p>
          <w:p w14:paraId="0E4A0FD1" w14:textId="22D3F7A5" w:rsidR="005E72C7" w:rsidRDefault="006255C1" w:rsidP="00326D0F">
            <w:pPr>
              <w:jc w:val="both"/>
            </w:pPr>
            <w:r>
              <w:t>The su</w:t>
            </w:r>
            <w:r>
              <w:t>bstitute does not include repeals included in the original of provisions that do the following:</w:t>
            </w:r>
          </w:p>
          <w:p w14:paraId="38D04A6F" w14:textId="09731447" w:rsidR="005E72C7" w:rsidRDefault="006255C1" w:rsidP="00326D0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prohibit t</w:t>
            </w:r>
            <w:r w:rsidRPr="005E72C7">
              <w:t xml:space="preserve">he district </w:t>
            </w:r>
            <w:r>
              <w:t>from</w:t>
            </w:r>
            <w:r w:rsidRPr="005E72C7">
              <w:t xml:space="preserve"> adopt</w:t>
            </w:r>
            <w:r>
              <w:t>ing</w:t>
            </w:r>
            <w:r w:rsidRPr="005E72C7">
              <w:t xml:space="preserve"> standards for the construction of a residential well that are more stringent than state s</w:t>
            </w:r>
            <w:r>
              <w:t>tandards for a residential well; an</w:t>
            </w:r>
            <w:r>
              <w:t>d</w:t>
            </w:r>
          </w:p>
          <w:p w14:paraId="1EC5418A" w14:textId="21A1C4E4" w:rsidR="005E72C7" w:rsidRDefault="006255C1" w:rsidP="00326D0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require a</w:t>
            </w:r>
            <w:r w:rsidRPr="00EF6D78">
              <w:t>n election hel</w:t>
            </w:r>
            <w:r>
              <w:t>d by the district, other than a directors'</w:t>
            </w:r>
            <w:r w:rsidRPr="00EF6D78">
              <w:t xml:space="preserve"> election, </w:t>
            </w:r>
            <w:r>
              <w:t>to</w:t>
            </w:r>
            <w:r w:rsidRPr="00EF6D78">
              <w:t xml:space="preserve"> be scheduled to coincide with a general election in May or November.</w:t>
            </w:r>
          </w:p>
          <w:p w14:paraId="642181F9" w14:textId="03BADA43" w:rsidR="0053589B" w:rsidRDefault="006255C1" w:rsidP="00326D0F">
            <w:pPr>
              <w:jc w:val="both"/>
            </w:pPr>
            <w:r w:rsidRPr="0053589B">
              <w:t xml:space="preserve">                                      </w:t>
            </w:r>
          </w:p>
          <w:p w14:paraId="75F943A1" w14:textId="5B770612" w:rsidR="0092207A" w:rsidRPr="0092207A" w:rsidRDefault="0092207A" w:rsidP="00326D0F">
            <w:pPr>
              <w:jc w:val="both"/>
            </w:pPr>
          </w:p>
        </w:tc>
      </w:tr>
      <w:tr w:rsidR="007547FE" w14:paraId="3D3EC702" w14:textId="77777777" w:rsidTr="00345119">
        <w:tc>
          <w:tcPr>
            <w:tcW w:w="9576" w:type="dxa"/>
          </w:tcPr>
          <w:p w14:paraId="1DD2DB96" w14:textId="77777777" w:rsidR="00811D02" w:rsidRPr="009C1E9A" w:rsidRDefault="00811D02" w:rsidP="00326D0F">
            <w:pPr>
              <w:rPr>
                <w:b/>
                <w:u w:val="single"/>
              </w:rPr>
            </w:pPr>
          </w:p>
        </w:tc>
      </w:tr>
      <w:tr w:rsidR="007547FE" w14:paraId="4B7D70F1" w14:textId="77777777" w:rsidTr="00345119">
        <w:tc>
          <w:tcPr>
            <w:tcW w:w="9576" w:type="dxa"/>
          </w:tcPr>
          <w:p w14:paraId="2C657670" w14:textId="77777777" w:rsidR="00811D02" w:rsidRPr="00811D02" w:rsidRDefault="00811D02" w:rsidP="00326D0F">
            <w:pPr>
              <w:jc w:val="both"/>
            </w:pPr>
          </w:p>
        </w:tc>
      </w:tr>
    </w:tbl>
    <w:p w14:paraId="2662A79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1C5189D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A98E" w14:textId="77777777" w:rsidR="00000000" w:rsidRDefault="006255C1">
      <w:r>
        <w:separator/>
      </w:r>
    </w:p>
  </w:endnote>
  <w:endnote w:type="continuationSeparator" w:id="0">
    <w:p w14:paraId="70565925" w14:textId="77777777" w:rsidR="00000000" w:rsidRDefault="006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23C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7FE" w14:paraId="22E4A93E" w14:textId="77777777" w:rsidTr="009C1E9A">
      <w:trPr>
        <w:cantSplit/>
      </w:trPr>
      <w:tc>
        <w:tcPr>
          <w:tcW w:w="0" w:type="pct"/>
        </w:tcPr>
        <w:p w14:paraId="4CF1CE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9163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ADF9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502B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AD3C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7FE" w14:paraId="2568BBB1" w14:textId="77777777" w:rsidTr="009C1E9A">
      <w:trPr>
        <w:cantSplit/>
      </w:trPr>
      <w:tc>
        <w:tcPr>
          <w:tcW w:w="0" w:type="pct"/>
        </w:tcPr>
        <w:p w14:paraId="393D7B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A67F29" w14:textId="77777777" w:rsidR="00EC379B" w:rsidRPr="009C1E9A" w:rsidRDefault="006255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25298</w:t>
          </w:r>
        </w:p>
      </w:tc>
      <w:tc>
        <w:tcPr>
          <w:tcW w:w="2453" w:type="pct"/>
        </w:tcPr>
        <w:p w14:paraId="3C690EC7" w14:textId="5B2F4B06" w:rsidR="00EC379B" w:rsidRDefault="00625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4DC0">
            <w:t>21.126.2524</w:t>
          </w:r>
          <w:r>
            <w:fldChar w:fldCharType="end"/>
          </w:r>
        </w:p>
      </w:tc>
    </w:tr>
    <w:tr w:rsidR="007547FE" w14:paraId="30AA4388" w14:textId="77777777" w:rsidTr="009C1E9A">
      <w:trPr>
        <w:cantSplit/>
      </w:trPr>
      <w:tc>
        <w:tcPr>
          <w:tcW w:w="0" w:type="pct"/>
        </w:tcPr>
        <w:p w14:paraId="3DF52F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1E80FA" w14:textId="77777777" w:rsidR="00EC379B" w:rsidRPr="009C1E9A" w:rsidRDefault="006255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24696</w:t>
          </w:r>
        </w:p>
      </w:tc>
      <w:tc>
        <w:tcPr>
          <w:tcW w:w="2453" w:type="pct"/>
        </w:tcPr>
        <w:p w14:paraId="6746A4D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2E20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7FE" w14:paraId="39DA87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ED8895" w14:textId="6B51CAD4" w:rsidR="00EC379B" w:rsidRDefault="006255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6D0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99D7D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8AE4A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7A7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3059" w14:textId="77777777" w:rsidR="00000000" w:rsidRDefault="006255C1">
      <w:r>
        <w:separator/>
      </w:r>
    </w:p>
  </w:footnote>
  <w:footnote w:type="continuationSeparator" w:id="0">
    <w:p w14:paraId="768E29B6" w14:textId="77777777" w:rsidR="00000000" w:rsidRDefault="0062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2EF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3D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E66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CF4"/>
    <w:multiLevelType w:val="hybridMultilevel"/>
    <w:tmpl w:val="10BC6044"/>
    <w:lvl w:ilvl="0" w:tplc="6DD4F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8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2A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25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E1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62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2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01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F6C"/>
    <w:multiLevelType w:val="hybridMultilevel"/>
    <w:tmpl w:val="2D264F40"/>
    <w:lvl w:ilvl="0" w:tplc="DB502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6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07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8C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6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C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4E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C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2C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62B5"/>
    <w:multiLevelType w:val="hybridMultilevel"/>
    <w:tmpl w:val="F6164952"/>
    <w:lvl w:ilvl="0" w:tplc="80305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86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09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61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AB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1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C0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C0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0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ED8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1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23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3DE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BC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43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D0F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7B9"/>
    <w:rsid w:val="00370155"/>
    <w:rsid w:val="003712D5"/>
    <w:rsid w:val="003747DF"/>
    <w:rsid w:val="00374DC0"/>
    <w:rsid w:val="00377E3D"/>
    <w:rsid w:val="003847E8"/>
    <w:rsid w:val="0038731D"/>
    <w:rsid w:val="00387B60"/>
    <w:rsid w:val="00390098"/>
    <w:rsid w:val="00392DA1"/>
    <w:rsid w:val="00393718"/>
    <w:rsid w:val="00396BA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6E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89B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2C7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5C1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E14"/>
    <w:rsid w:val="0067036E"/>
    <w:rsid w:val="00671693"/>
    <w:rsid w:val="006757AA"/>
    <w:rsid w:val="0068127E"/>
    <w:rsid w:val="00681451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012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BBD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7FE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812"/>
    <w:rsid w:val="007B7B85"/>
    <w:rsid w:val="007C462E"/>
    <w:rsid w:val="007C496B"/>
    <w:rsid w:val="007C6803"/>
    <w:rsid w:val="007D0EE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D02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A92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65E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07A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97A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CC2"/>
    <w:rsid w:val="00A220FF"/>
    <w:rsid w:val="00A227E0"/>
    <w:rsid w:val="00A232E4"/>
    <w:rsid w:val="00A24AAD"/>
    <w:rsid w:val="00A2518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C9A"/>
    <w:rsid w:val="00B80532"/>
    <w:rsid w:val="00B82039"/>
    <w:rsid w:val="00B82454"/>
    <w:rsid w:val="00B84C0F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E3F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453"/>
    <w:rsid w:val="00D060A8"/>
    <w:rsid w:val="00D06605"/>
    <w:rsid w:val="00D0720F"/>
    <w:rsid w:val="00D074E2"/>
    <w:rsid w:val="00D07F05"/>
    <w:rsid w:val="00D11B0B"/>
    <w:rsid w:val="00D12A3E"/>
    <w:rsid w:val="00D22160"/>
    <w:rsid w:val="00D22172"/>
    <w:rsid w:val="00D22321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7D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701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D78"/>
    <w:rsid w:val="00EF7E26"/>
    <w:rsid w:val="00F01DFA"/>
    <w:rsid w:val="00F02096"/>
    <w:rsid w:val="00F02457"/>
    <w:rsid w:val="00F030AF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E0B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9BC0E2-B4F3-4967-8ACA-8BEC799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57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7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7DF"/>
    <w:rPr>
      <w:b/>
      <w:bCs/>
    </w:rPr>
  </w:style>
  <w:style w:type="character" w:styleId="Hyperlink">
    <w:name w:val="Hyperlink"/>
    <w:basedOn w:val="DefaultParagraphFont"/>
    <w:unhideWhenUsed/>
    <w:rsid w:val="00E40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F0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7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4082</Characters>
  <Application>Microsoft Office Word</Application>
  <DocSecurity>4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HB04618 (Committee Report (Substituted))</vt:lpstr>
    </vt:vector>
  </TitlesOfParts>
  <Company>State of Texas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25298</dc:subject>
  <dc:creator>State of Texas</dc:creator>
  <dc:description>HB 4618 by Zwiener-(H)Natural Resources (Substitute Document Number: 87R 24696)</dc:description>
  <cp:lastModifiedBy>Stacey Nicchio</cp:lastModifiedBy>
  <cp:revision>2</cp:revision>
  <cp:lastPrinted>2003-11-26T17:21:00Z</cp:lastPrinted>
  <dcterms:created xsi:type="dcterms:W3CDTF">2021-05-08T00:14:00Z</dcterms:created>
  <dcterms:modified xsi:type="dcterms:W3CDTF">2021-05-08T00:14:00Z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21.126.2524</vt:lpwstr>
  </property>
</Properties>
</file>