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5" w:rsidRDefault="00D17D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F9CF3D231FD4A54A088D8D7CA46B25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17DE5" w:rsidRPr="00585C31" w:rsidRDefault="00D17DE5" w:rsidP="000F1DF9">
      <w:pPr>
        <w:spacing w:after="0" w:line="240" w:lineRule="auto"/>
        <w:rPr>
          <w:rFonts w:cs="Times New Roman"/>
          <w:szCs w:val="24"/>
        </w:rPr>
      </w:pPr>
    </w:p>
    <w:p w:rsidR="00D17DE5" w:rsidRPr="00585C31" w:rsidRDefault="00D17D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17DE5" w:rsidTr="000F1DF9">
        <w:tc>
          <w:tcPr>
            <w:tcW w:w="2718" w:type="dxa"/>
          </w:tcPr>
          <w:p w:rsidR="00D17DE5" w:rsidRPr="005C2A78" w:rsidRDefault="00D17D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45188B42EC941F29CDFBF78A081749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17DE5" w:rsidRPr="00FF6471" w:rsidRDefault="00D17D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D21FE919144CC9BC65D00D78BD8C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9</w:t>
                </w:r>
              </w:sdtContent>
            </w:sdt>
          </w:p>
        </w:tc>
      </w:tr>
      <w:tr w:rsidR="00D17DE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1BEA03D397B4A2F8F30DEE7937CB1BE"/>
            </w:placeholder>
          </w:sdtPr>
          <w:sdtContent>
            <w:tc>
              <w:tcPr>
                <w:tcW w:w="2718" w:type="dxa"/>
              </w:tcPr>
              <w:p w:rsidR="00D17DE5" w:rsidRPr="000F1DF9" w:rsidRDefault="00D17DE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87R14501 SCL-F</w:t>
                </w:r>
              </w:p>
            </w:tc>
          </w:sdtContent>
        </w:sdt>
        <w:tc>
          <w:tcPr>
            <w:tcW w:w="6858" w:type="dxa"/>
          </w:tcPr>
          <w:p w:rsidR="00D17DE5" w:rsidRPr="005C2A78" w:rsidRDefault="00D17DE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762B77801CE4EA495FC11FC256F41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9D26B48AF88464FBA88F278DD8D5C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146944BE7FD4A578B356E8E01CE0EF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1A6B9E9459546FC9ED334D4072E4CA4"/>
                </w:placeholder>
                <w:showingPlcHdr/>
              </w:sdtPr>
              <w:sdtContent/>
            </w:sdt>
          </w:p>
        </w:tc>
      </w:tr>
      <w:tr w:rsidR="00D17DE5" w:rsidTr="000F1DF9">
        <w:tc>
          <w:tcPr>
            <w:tcW w:w="2718" w:type="dxa"/>
          </w:tcPr>
          <w:p w:rsidR="00D17DE5" w:rsidRPr="00BC7495" w:rsidRDefault="00D17D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FC857F6A09B4F748C9A1717E00A8FAE"/>
            </w:placeholder>
          </w:sdtPr>
          <w:sdtContent>
            <w:tc>
              <w:tcPr>
                <w:tcW w:w="6858" w:type="dxa"/>
              </w:tcPr>
              <w:p w:rsidR="00D17DE5" w:rsidRPr="00FF6471" w:rsidRDefault="00D17D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17DE5" w:rsidTr="000F1DF9">
        <w:tc>
          <w:tcPr>
            <w:tcW w:w="2718" w:type="dxa"/>
          </w:tcPr>
          <w:p w:rsidR="00D17DE5" w:rsidRPr="00BC7495" w:rsidRDefault="00D17D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3FC90729ABF486E97344ECB05E8C704"/>
            </w:placeholder>
            <w:date w:fullDate="2021-03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17DE5" w:rsidRPr="00FF6471" w:rsidRDefault="00D17D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3/18/2021</w:t>
                </w:r>
              </w:p>
            </w:tc>
          </w:sdtContent>
        </w:sdt>
      </w:tr>
      <w:tr w:rsidR="00D17DE5" w:rsidTr="000F1DF9">
        <w:tc>
          <w:tcPr>
            <w:tcW w:w="2718" w:type="dxa"/>
          </w:tcPr>
          <w:p w:rsidR="00D17DE5" w:rsidRPr="00BC7495" w:rsidRDefault="00D17D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1115E6092A54C3C8552D4E45D7AE61C"/>
            </w:placeholder>
          </w:sdtPr>
          <w:sdtContent>
            <w:tc>
              <w:tcPr>
                <w:tcW w:w="6858" w:type="dxa"/>
              </w:tcPr>
              <w:p w:rsidR="00D17DE5" w:rsidRPr="00FF6471" w:rsidRDefault="00D17D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D17DE5" w:rsidRPr="00FF6471" w:rsidRDefault="00D17DE5" w:rsidP="000F1DF9">
      <w:pPr>
        <w:spacing w:after="0" w:line="240" w:lineRule="auto"/>
        <w:rPr>
          <w:rFonts w:cs="Times New Roman"/>
          <w:szCs w:val="24"/>
        </w:rPr>
      </w:pPr>
    </w:p>
    <w:p w:rsidR="00D17DE5" w:rsidRPr="00FF6471" w:rsidRDefault="00D17DE5" w:rsidP="000F1DF9">
      <w:pPr>
        <w:spacing w:after="0" w:line="240" w:lineRule="auto"/>
        <w:rPr>
          <w:rFonts w:cs="Times New Roman"/>
          <w:szCs w:val="24"/>
        </w:rPr>
      </w:pPr>
    </w:p>
    <w:p w:rsidR="00D17DE5" w:rsidRPr="00FF6471" w:rsidRDefault="00D17D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D14EA57988B4B08ADFAC0C3A1864A7E"/>
        </w:placeholder>
      </w:sdtPr>
      <w:sdtContent>
        <w:p w:rsidR="00D17DE5" w:rsidRDefault="00D17D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EE2FA29651C4B338E0C5DD115820273"/>
        </w:placeholder>
      </w:sdtPr>
      <w:sdtContent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  <w:rPr>
              <w:rFonts w:eastAsia="Times New Roman"/>
              <w:bCs/>
            </w:rPr>
          </w:pP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  <w:r w:rsidRPr="002B61C8">
            <w:t xml:space="preserve">The goal of this bill is to end the practice of abortion in Texas in the event, and to the extent that the Supreme Court reverses its rulings under </w:t>
          </w:r>
          <w:r w:rsidRPr="002B61C8">
            <w:rPr>
              <w:i/>
            </w:rPr>
            <w:t>Roe v. Wade</w:t>
          </w:r>
          <w:r w:rsidRPr="002B61C8">
            <w:t xml:space="preserve"> and </w:t>
          </w:r>
          <w:r w:rsidRPr="002B61C8">
            <w:rPr>
              <w:i/>
            </w:rPr>
            <w:t>Planned Parenthood v. Casey</w:t>
          </w:r>
          <w:r w:rsidRPr="002B61C8">
            <w:t xml:space="preserve">. If overturned, abortion lawmaking authority would return to the state. This bill seeks to ensure that if this happens, Texas has a mechanism in place to stop this practice as soon as possible. </w:t>
          </w: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  <w:r w:rsidRPr="002B61C8">
            <w:t>Currently, ten states (Arkansas, Idaho, Kentucky, Louisiana, Mississippi, North Dakota, Missouri, Tennessee, South Dakota</w:t>
          </w:r>
          <w:r>
            <w:t>,</w:t>
          </w:r>
          <w:r w:rsidRPr="002B61C8">
            <w:t xml:space="preserve"> and Utah) have enacted similar pieces of legislation. </w:t>
          </w: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  <w:r w:rsidRPr="002B61C8">
            <w:t>S</w:t>
          </w:r>
          <w:r>
            <w:t>.</w:t>
          </w:r>
          <w:r w:rsidRPr="002B61C8">
            <w:t>B</w:t>
          </w:r>
          <w:r>
            <w:t>.</w:t>
          </w:r>
          <w:r w:rsidRPr="002B61C8">
            <w:t xml:space="preserve"> 9 will go into effect 30 days after the Supreme Court issues a judgment in a decision overturning, either fully or in part, the decisions handed down in </w:t>
          </w:r>
          <w:r w:rsidRPr="002B61C8">
            <w:rPr>
              <w:i/>
            </w:rPr>
            <w:t>Roe v. Wade</w:t>
          </w:r>
          <w:r w:rsidRPr="002B61C8">
            <w:t xml:space="preserve"> or </w:t>
          </w:r>
          <w:r w:rsidRPr="002B61C8">
            <w:rPr>
              <w:i/>
            </w:rPr>
            <w:t>Planned Parenthood v. Casey</w:t>
          </w:r>
          <w:r w:rsidRPr="002B61C8">
            <w:t>, thereby taking effect to end the practice of abortion to the extent allowable under the new precedent.</w:t>
          </w: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  <w:r>
            <w:t xml:space="preserve">(Original Author's / Sponsor's Statement of Intent)  </w:t>
          </w:r>
        </w:p>
        <w:p w:rsidR="00D17DE5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</w:p>
        <w:p w:rsidR="00D17DE5" w:rsidRPr="002B61C8" w:rsidRDefault="00D17DE5" w:rsidP="00D17DE5">
          <w:pPr>
            <w:pStyle w:val="NormalWeb"/>
            <w:spacing w:before="0" w:beforeAutospacing="0" w:after="0" w:afterAutospacing="0"/>
            <w:jc w:val="both"/>
            <w:divId w:val="1190266407"/>
          </w:pPr>
          <w:r>
            <w:t xml:space="preserve">C.S.S.B.9 amends current law relating to prohibition of abortion, provides a civil penalty, and creates a criminal offense. </w:t>
          </w:r>
        </w:p>
        <w:p w:rsidR="00D17DE5" w:rsidRPr="002B61C8" w:rsidRDefault="00D17DE5" w:rsidP="00D17DE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D17DE5" w:rsidRPr="005C2A78" w:rsidRDefault="00D17D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3AE959CB16C45B39757D47BFDE7A5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17DE5" w:rsidRPr="006529C4" w:rsidRDefault="00D17D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7DE5" w:rsidRPr="006529C4" w:rsidRDefault="00D17D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17DE5" w:rsidRPr="006529C4" w:rsidRDefault="00D17D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7DE5" w:rsidRPr="005C2A78" w:rsidRDefault="00D17DE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10B3954CCC2477B853CF8A014DABF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17DE5" w:rsidRPr="005C2A78" w:rsidRDefault="00D17D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7DE5" w:rsidRPr="005C2A78" w:rsidRDefault="00D17DE5" w:rsidP="002B61C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Provides that this Act may be cited as the Human Life Protection Act of 2021. </w:t>
      </w:r>
    </w:p>
    <w:p w:rsidR="00D17DE5" w:rsidRDefault="00D17DE5" w:rsidP="002B61C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Subtitle H, Title 2, Health and Safety Code, by adding Chapter 170A, as follows: </w:t>
      </w:r>
    </w:p>
    <w:p w:rsidR="00D17DE5" w:rsidRPr="00717896" w:rsidRDefault="00D17DE5" w:rsidP="002B61C8">
      <w:pPr>
        <w:spacing w:line="240" w:lineRule="auto"/>
        <w:jc w:val="center"/>
      </w:pPr>
      <w:r>
        <w:rPr>
          <w:rFonts w:eastAsia="Times New Roman" w:cs="Times New Roman"/>
          <w:szCs w:val="24"/>
        </w:rPr>
        <w:tab/>
      </w:r>
      <w:r w:rsidRPr="00717896">
        <w:t>CHAPTER 170A.  PERFORMANCE OF ABORTION</w:t>
      </w:r>
    </w:p>
    <w:p w:rsidR="00D17DE5" w:rsidRDefault="00D17DE5" w:rsidP="002B61C8">
      <w:pPr>
        <w:spacing w:line="240" w:lineRule="auto"/>
        <w:ind w:left="720"/>
        <w:jc w:val="both"/>
      </w:pPr>
      <w:r w:rsidRPr="00717896">
        <w:t xml:space="preserve">Sec. 170A.001.  DEFINITIONS.  </w:t>
      </w:r>
      <w:r>
        <w:t>Provides that:</w:t>
      </w:r>
    </w:p>
    <w:p w:rsidR="00D17DE5" w:rsidRDefault="00D17DE5" w:rsidP="002B61C8">
      <w:pPr>
        <w:spacing w:line="240" w:lineRule="auto"/>
        <w:ind w:left="1440" w:firstLine="720"/>
        <w:jc w:val="both"/>
      </w:pPr>
      <w:r>
        <w:t>(1) "Abortion" has the meaning assigned by Section 245.002 (Definitions);</w:t>
      </w:r>
    </w:p>
    <w:p w:rsidR="00D17DE5" w:rsidRDefault="00D17DE5" w:rsidP="002B61C8">
      <w:pPr>
        <w:spacing w:line="240" w:lineRule="auto"/>
        <w:ind w:left="2160"/>
        <w:jc w:val="both"/>
      </w:pPr>
      <w:r>
        <w:t>(2) "Fertilization" means the point in time when a male human sperm penetrates the zona pellucida of a female human ovum;</w:t>
      </w:r>
    </w:p>
    <w:p w:rsidR="00D17DE5" w:rsidRDefault="00D17DE5" w:rsidP="002B61C8">
      <w:pPr>
        <w:spacing w:line="240" w:lineRule="auto"/>
        <w:ind w:left="2160"/>
        <w:jc w:val="both"/>
      </w:pPr>
      <w:r>
        <w:t>(3) "Pregnant" means the female human reproductive condition of having a living unborn child within the female's body during the entire embryonic and fetal stages of the unborn child's development from fertilization until birth;</w:t>
      </w:r>
    </w:p>
    <w:p w:rsidR="00D17DE5" w:rsidRDefault="00D17DE5" w:rsidP="002B61C8">
      <w:pPr>
        <w:spacing w:line="240" w:lineRule="auto"/>
        <w:ind w:left="2160"/>
        <w:jc w:val="both"/>
      </w:pPr>
      <w:r>
        <w:t>(4) "Reasonable medical judgment" means a medical judgment made by a reasonably prudent physician, knowledgeable about a case and the treatment possibilities for the medical conditions involved;</w:t>
      </w:r>
    </w:p>
    <w:p w:rsidR="00D17DE5" w:rsidRPr="00717896" w:rsidRDefault="00D17DE5" w:rsidP="002B61C8">
      <w:pPr>
        <w:spacing w:line="240" w:lineRule="auto"/>
        <w:ind w:left="2160"/>
        <w:jc w:val="both"/>
      </w:pPr>
      <w:r>
        <w:t xml:space="preserve">(5) "Unborn child" means an individual living member of the homo sapiens species from fertilization until birth, including the entire embryonic and fetal stages of development. </w:t>
      </w:r>
    </w:p>
    <w:p w:rsidR="00D17DE5" w:rsidRPr="00717896" w:rsidRDefault="00D17DE5" w:rsidP="002B61C8">
      <w:pPr>
        <w:spacing w:line="240" w:lineRule="auto"/>
        <w:ind w:left="720"/>
        <w:jc w:val="both"/>
      </w:pPr>
      <w:r w:rsidRPr="00717896">
        <w:t xml:space="preserve">Sec. 170A.002.  PROHIBITED ABORTION; EXCEPTIONS.  (a) </w:t>
      </w:r>
      <w:r>
        <w:t xml:space="preserve">Prohibits a </w:t>
      </w:r>
      <w:r w:rsidRPr="00717896">
        <w:t xml:space="preserve">person </w:t>
      </w:r>
      <w:r>
        <w:t>from</w:t>
      </w:r>
      <w:r w:rsidRPr="00717896">
        <w:t xml:space="preserve"> knowingly perform</w:t>
      </w:r>
      <w:r>
        <w:t>ing, inducing</w:t>
      </w:r>
      <w:r w:rsidRPr="00717896">
        <w:t>, or attempt</w:t>
      </w:r>
      <w:r>
        <w:t>ing</w:t>
      </w:r>
      <w:r w:rsidRPr="00717896">
        <w:t xml:space="preserve"> an abortion.</w:t>
      </w:r>
    </w:p>
    <w:p w:rsidR="00D17DE5" w:rsidRPr="00717896" w:rsidRDefault="00D17DE5" w:rsidP="002B61C8">
      <w:pPr>
        <w:spacing w:line="240" w:lineRule="auto"/>
        <w:ind w:left="720" w:firstLine="720"/>
        <w:jc w:val="both"/>
      </w:pPr>
      <w:r w:rsidRPr="00717896">
        <w:t>(b)  </w:t>
      </w:r>
      <w:r>
        <w:t>Provides that the</w:t>
      </w:r>
      <w:r w:rsidRPr="00717896">
        <w:t xml:space="preserve"> prohibition unde</w:t>
      </w:r>
      <w:r>
        <w:t>r Subsection (a) does not apply</w:t>
      </w:r>
      <w:r w:rsidRPr="00717896">
        <w:t xml:space="preserve"> if:</w:t>
      </w:r>
    </w:p>
    <w:p w:rsidR="00D17DE5" w:rsidRPr="00717896" w:rsidRDefault="00D17DE5" w:rsidP="002B61C8">
      <w:pPr>
        <w:spacing w:line="240" w:lineRule="auto"/>
        <w:ind w:left="2160"/>
        <w:jc w:val="both"/>
      </w:pPr>
      <w:r w:rsidRPr="00717896">
        <w:t>(1)  the person performing, inducing, or attempting the abortion is a licensed physician;</w:t>
      </w:r>
    </w:p>
    <w:p w:rsidR="00D17DE5" w:rsidRPr="00717896" w:rsidRDefault="00D17DE5" w:rsidP="002B61C8">
      <w:pPr>
        <w:spacing w:line="240" w:lineRule="auto"/>
        <w:ind w:left="2160"/>
        <w:jc w:val="both"/>
      </w:pPr>
      <w:r w:rsidRPr="00717896">
        <w:t>(2)  in the exercise of reasonable medical judgment, the pregnant female on whom the abortion is performed, induced, or attempted has a life-threatening physical condition aggravated by, caused by, or arising from a pregnancy that places the female at risk of death or poses a serious risk of substantial impairment of a major bodily function unless the abortion is performed or induced; and</w:t>
      </w:r>
    </w:p>
    <w:p w:rsidR="00D17DE5" w:rsidRPr="00717896" w:rsidRDefault="00D17DE5" w:rsidP="002B61C8">
      <w:pPr>
        <w:spacing w:line="240" w:lineRule="auto"/>
        <w:ind w:left="2160"/>
        <w:jc w:val="both"/>
      </w:pPr>
      <w:r w:rsidRPr="00717896">
        <w:t>(3)  the person performs, induces, or attempts the abortion in a manner that, in the exercise of reasonable medical judgment, provides the best opportunity for the unborn child to survive unless, in the reasonable medical jud</w:t>
      </w:r>
      <w:r>
        <w:t xml:space="preserve">gment, that manner would create </w:t>
      </w:r>
      <w:r w:rsidRPr="00717896">
        <w:t>a greater risk of</w:t>
      </w:r>
      <w:r>
        <w:t xml:space="preserve"> the pregnant female's death, or </w:t>
      </w:r>
      <w:r w:rsidRPr="00717896">
        <w:t>a serious risk of substantial impairment of a major bodily function of the pregnant female.</w:t>
      </w:r>
    </w:p>
    <w:p w:rsidR="00D17DE5" w:rsidRPr="00717896" w:rsidRDefault="00D17DE5" w:rsidP="002B61C8">
      <w:pPr>
        <w:spacing w:line="240" w:lineRule="auto"/>
        <w:ind w:left="1440"/>
        <w:jc w:val="both"/>
      </w:pPr>
      <w:r w:rsidRPr="00717896">
        <w:t>(c)  </w:t>
      </w:r>
      <w:r>
        <w:t>Prohibits a physician from taking</w:t>
      </w:r>
      <w:r w:rsidRPr="00717896">
        <w:t xml:space="preserve"> an action authorized under Subsection (b) if, at the time the abortion was performed, induced, or attempted, the person knew the risk of death or a substantial impairment of a major bodily function described by Subsection (b)(2) arose from a claim or diagnosis that the female would engage in conduct that might result in the female's death or in substantial impairment of a major bodily function.</w:t>
      </w:r>
    </w:p>
    <w:p w:rsidR="00D17DE5" w:rsidRPr="00717896" w:rsidRDefault="00D17DE5" w:rsidP="002B61C8">
      <w:pPr>
        <w:spacing w:line="240" w:lineRule="auto"/>
        <w:ind w:left="1440"/>
        <w:jc w:val="both"/>
      </w:pPr>
      <w:r>
        <w:t>(d)  Provides that m</w:t>
      </w:r>
      <w:r w:rsidRPr="00717896">
        <w:t xml:space="preserve">edical treatment provided to the pregnant female by a licensed physician that results in the accidental or unintentional injury or death of the unborn child </w:t>
      </w:r>
      <w:r>
        <w:t>does not constitute a violation of this section.</w:t>
      </w:r>
    </w:p>
    <w:p w:rsidR="00D17DE5" w:rsidRPr="00717896" w:rsidRDefault="00D17DE5" w:rsidP="002B61C8">
      <w:pPr>
        <w:spacing w:line="240" w:lineRule="auto"/>
        <w:ind w:left="720"/>
        <w:jc w:val="both"/>
      </w:pPr>
      <w:r w:rsidRPr="00717896">
        <w:t>Sec. 170A.0</w:t>
      </w:r>
      <w:r>
        <w:t>03.  CONSTRUCTION OF CHAPTER.  Prohibits t</w:t>
      </w:r>
      <w:r w:rsidRPr="00717896">
        <w:t xml:space="preserve">his chapter </w:t>
      </w:r>
      <w:r>
        <w:t xml:space="preserve">from being </w:t>
      </w:r>
      <w:r w:rsidRPr="00717896">
        <w:t xml:space="preserve"> construed to authorize the imposition of criminal, civil, or administrative liability or penalties on a pregnant female on whom an abortion is performed, induced, or attempted.</w:t>
      </w:r>
    </w:p>
    <w:p w:rsidR="00D17DE5" w:rsidRPr="00717896" w:rsidRDefault="00D17DE5" w:rsidP="002B61C8">
      <w:pPr>
        <w:spacing w:line="240" w:lineRule="auto"/>
        <w:ind w:left="720"/>
        <w:jc w:val="both"/>
      </w:pPr>
      <w:r w:rsidRPr="00717896">
        <w:t xml:space="preserve">Sec. 170A.004.  CRIMINAL OFFENSE.  (a) </w:t>
      </w:r>
      <w:r>
        <w:t>Provides that a</w:t>
      </w:r>
      <w:r w:rsidRPr="00717896">
        <w:t xml:space="preserve"> person who violates Section 170A.002 commits an offense.</w:t>
      </w:r>
    </w:p>
    <w:p w:rsidR="00D17DE5" w:rsidRPr="00717896" w:rsidRDefault="00D17DE5" w:rsidP="002B61C8">
      <w:pPr>
        <w:spacing w:line="240" w:lineRule="auto"/>
        <w:ind w:left="1440"/>
        <w:jc w:val="both"/>
      </w:pPr>
      <w:r w:rsidRPr="00717896">
        <w:t>(b)  </w:t>
      </w:r>
      <w:r>
        <w:t>Provides that an</w:t>
      </w:r>
      <w:r w:rsidRPr="00717896">
        <w:t xml:space="preserve"> offense under this section is a felony of the second degree, except that the offense is a felony of the first degree if an unborn child dies as a result of the offense.</w:t>
      </w:r>
    </w:p>
    <w:p w:rsidR="00D17DE5" w:rsidRPr="00717896" w:rsidRDefault="00D17DE5" w:rsidP="002B61C8">
      <w:pPr>
        <w:spacing w:line="240" w:lineRule="auto"/>
        <w:ind w:left="720"/>
        <w:jc w:val="both"/>
      </w:pPr>
      <w:r w:rsidRPr="00717896">
        <w:t>Sec. 170A.005.  CIVIL PENALTY</w:t>
      </w:r>
      <w:r>
        <w:t>. Provides that a</w:t>
      </w:r>
      <w:r w:rsidRPr="00717896">
        <w:t xml:space="preserve"> person who violates Section 170A.002 is subject to a civil penalty of not less than $100,000 for each violation.  </w:t>
      </w:r>
      <w:r>
        <w:t xml:space="preserve">Requires the attorney general to </w:t>
      </w:r>
      <w:r w:rsidRPr="00717896">
        <w:t xml:space="preserve">file an action to recover a civil penalty assessed under this section and </w:t>
      </w:r>
      <w:r>
        <w:t xml:space="preserve">authorizes the attorney general to </w:t>
      </w:r>
      <w:r w:rsidRPr="00717896">
        <w:t>recover attorney's fees and costs incurred in bringing the action.</w:t>
      </w:r>
    </w:p>
    <w:p w:rsidR="00D17DE5" w:rsidRPr="00717896" w:rsidRDefault="00D17DE5" w:rsidP="002B61C8">
      <w:pPr>
        <w:spacing w:line="240" w:lineRule="auto"/>
        <w:ind w:left="720"/>
        <w:jc w:val="both"/>
      </w:pPr>
      <w:r w:rsidRPr="00717896">
        <w:t>Sec. 170A.006.  CIVIL REMEDIE</w:t>
      </w:r>
      <w:r>
        <w:t>S UNAFFECTED.  Provides that t</w:t>
      </w:r>
      <w:r w:rsidRPr="00717896">
        <w:t>he fact that conduct is subject to a civil or criminal penalty under this chapter does not abolish or impair any remedy for the conduct that is available in a civil suit.</w:t>
      </w:r>
    </w:p>
    <w:p w:rsidR="00D17DE5" w:rsidRPr="00717896" w:rsidRDefault="00D17DE5" w:rsidP="002B61C8">
      <w:pPr>
        <w:spacing w:before="240" w:line="240" w:lineRule="auto"/>
        <w:ind w:left="720"/>
        <w:jc w:val="both"/>
      </w:pPr>
      <w:r w:rsidRPr="00717896">
        <w:t>Sec. 170A.007.  DISCIPLINARY ACTION</w:t>
      </w:r>
      <w:r>
        <w:t>.</w:t>
      </w:r>
      <w:r w:rsidRPr="00717896">
        <w:t xml:space="preserve"> </w:t>
      </w:r>
      <w:r>
        <w:t xml:space="preserve">Requires </w:t>
      </w:r>
      <w:r w:rsidRPr="00717896">
        <w:t>the appropriate licensing authority</w:t>
      </w:r>
      <w:r>
        <w:t>, i</w:t>
      </w:r>
      <w:r w:rsidRPr="00717896">
        <w:t>n addition to any other penalty that may be imposed under this chapter</w:t>
      </w:r>
      <w:r>
        <w:t>,</w:t>
      </w:r>
      <w:r w:rsidRPr="00717896">
        <w:t xml:space="preserve"> </w:t>
      </w:r>
      <w:r>
        <w:t xml:space="preserve">to </w:t>
      </w:r>
      <w:r w:rsidRPr="00717896">
        <w:t>revoke the license, permit, registration, certificate, or other authority of a physician or other health care professional who performs, induces, or attempts an abortion in violation of Section 170A.002.</w:t>
      </w:r>
    </w:p>
    <w:p w:rsidR="00D17DE5" w:rsidRDefault="00D17DE5" w:rsidP="002B61C8">
      <w:pPr>
        <w:spacing w:before="24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Section 2 of this Act takes effect, to the extent permitted, on the 30th day after:</w:t>
      </w:r>
    </w:p>
    <w:p w:rsidR="00D17DE5" w:rsidRDefault="00D17DE5" w:rsidP="002B61C8">
      <w:pPr>
        <w:spacing w:line="240" w:lineRule="auto"/>
        <w:ind w:left="2160"/>
        <w:jc w:val="both"/>
      </w:pPr>
      <w:r>
        <w:rPr>
          <w:rFonts w:eastAsia="Times New Roman" w:cs="Times New Roman"/>
          <w:szCs w:val="24"/>
        </w:rPr>
        <w:t xml:space="preserve">(1) the issuance of a United States Supreme Court </w:t>
      </w:r>
      <w:r>
        <w:t xml:space="preserve">judgment in a decision  overruling, wholly or partly, </w:t>
      </w:r>
      <w:r>
        <w:rPr>
          <w:i/>
        </w:rPr>
        <w:t>Roe v. Wade</w:t>
      </w:r>
      <w:r>
        <w:t xml:space="preserve">, 410 U.S. 113 (1973), as modified by </w:t>
      </w:r>
      <w:r>
        <w:rPr>
          <w:i/>
        </w:rPr>
        <w:t>Planned Parenthood v. Casey</w:t>
      </w:r>
      <w:r>
        <w:t>, 505 U.S. 833 (1992), thereby allowing the states of the United States to prohibit abortion;</w:t>
      </w:r>
    </w:p>
    <w:p w:rsidR="00D17DE5" w:rsidRDefault="00D17DE5" w:rsidP="002B61C8">
      <w:pPr>
        <w:spacing w:line="240" w:lineRule="auto"/>
        <w:ind w:left="2160"/>
        <w:jc w:val="both"/>
      </w:pPr>
      <w:r>
        <w:t>(2)  the issuance of any other United States Supreme Court judgment in a  decision that recognizes, wholly or partly, the authority of the states to prohibit abortion; or</w:t>
      </w:r>
    </w:p>
    <w:p w:rsidR="00D17DE5" w:rsidRDefault="00D17DE5" w:rsidP="002B61C8">
      <w:pPr>
        <w:spacing w:line="240" w:lineRule="auto"/>
        <w:ind w:left="2160"/>
        <w:jc w:val="both"/>
      </w:pPr>
      <w:r>
        <w:t>(3)  adoption of an amendment to the United States Constitution that, wholly or partly, restores to the states the authority to prohibit abortion.</w:t>
      </w:r>
    </w:p>
    <w:p w:rsidR="00D17DE5" w:rsidRDefault="00D17DE5" w:rsidP="002B61C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Severability clause.</w:t>
      </w:r>
    </w:p>
    <w:p w:rsidR="00D17DE5" w:rsidRPr="00C8671F" w:rsidRDefault="00D17DE5" w:rsidP="002B61C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2021. </w:t>
      </w:r>
    </w:p>
    <w:sectPr w:rsidR="00D17DE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34" w:rsidRDefault="00204334" w:rsidP="000F1DF9">
      <w:pPr>
        <w:spacing w:after="0" w:line="240" w:lineRule="auto"/>
      </w:pPr>
      <w:r>
        <w:separator/>
      </w:r>
    </w:p>
  </w:endnote>
  <w:endnote w:type="continuationSeparator" w:id="0">
    <w:p w:rsidR="00204334" w:rsidRDefault="0020433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0433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17DE5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17DE5">
                <w:rPr>
                  <w:sz w:val="20"/>
                  <w:szCs w:val="20"/>
                </w:rPr>
                <w:t>C.S.S.B. 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17DE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0433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34" w:rsidRDefault="00204334" w:rsidP="000F1DF9">
      <w:pPr>
        <w:spacing w:after="0" w:line="240" w:lineRule="auto"/>
      </w:pPr>
      <w:r>
        <w:separator/>
      </w:r>
    </w:p>
  </w:footnote>
  <w:footnote w:type="continuationSeparator" w:id="0">
    <w:p w:rsidR="00204334" w:rsidRDefault="0020433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0433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17DE5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31E6"/>
  <w15:docId w15:val="{1744C3B5-E328-4B60-8760-D75882C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7D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F9CF3D231FD4A54A088D8D7CA46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B770-68F9-4145-A199-67BF97DA9D4C}"/>
      </w:docPartPr>
      <w:docPartBody>
        <w:p w:rsidR="00000000" w:rsidRDefault="0077364F"/>
      </w:docPartBody>
    </w:docPart>
    <w:docPart>
      <w:docPartPr>
        <w:name w:val="045188B42EC941F29CDFBF78A081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82B3-27DB-475C-A5E7-185B5749E26B}"/>
      </w:docPartPr>
      <w:docPartBody>
        <w:p w:rsidR="00000000" w:rsidRDefault="0077364F"/>
      </w:docPartBody>
    </w:docPart>
    <w:docPart>
      <w:docPartPr>
        <w:name w:val="32D21FE919144CC9BC65D00D78BD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7AE2-2B60-44D3-8C71-5417D9322726}"/>
      </w:docPartPr>
      <w:docPartBody>
        <w:p w:rsidR="00000000" w:rsidRDefault="0077364F"/>
      </w:docPartBody>
    </w:docPart>
    <w:docPart>
      <w:docPartPr>
        <w:name w:val="F1BEA03D397B4A2F8F30DEE7937C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FB43-B384-4770-AF37-28783F7DEFAC}"/>
      </w:docPartPr>
      <w:docPartBody>
        <w:p w:rsidR="00000000" w:rsidRDefault="0077364F"/>
      </w:docPartBody>
    </w:docPart>
    <w:docPart>
      <w:docPartPr>
        <w:name w:val="B762B77801CE4EA495FC11FC256F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5008-35B1-4F4A-B6DE-17E53F05FE5D}"/>
      </w:docPartPr>
      <w:docPartBody>
        <w:p w:rsidR="00000000" w:rsidRDefault="0077364F"/>
      </w:docPartBody>
    </w:docPart>
    <w:docPart>
      <w:docPartPr>
        <w:name w:val="99D26B48AF88464FBA88F278DD8D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679A-824E-4D42-88FD-CD82F1E41DD5}"/>
      </w:docPartPr>
      <w:docPartBody>
        <w:p w:rsidR="00000000" w:rsidRDefault="0077364F"/>
      </w:docPartBody>
    </w:docPart>
    <w:docPart>
      <w:docPartPr>
        <w:name w:val="E146944BE7FD4A578B356E8E01CE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CC49-51F2-40ED-8AD8-39B5DB18D525}"/>
      </w:docPartPr>
      <w:docPartBody>
        <w:p w:rsidR="00000000" w:rsidRDefault="0077364F"/>
      </w:docPartBody>
    </w:docPart>
    <w:docPart>
      <w:docPartPr>
        <w:name w:val="D1A6B9E9459546FC9ED334D4072E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66A1-C125-4A5A-BC4E-42C6F7E51C64}"/>
      </w:docPartPr>
      <w:docPartBody>
        <w:p w:rsidR="00000000" w:rsidRDefault="0077364F"/>
      </w:docPartBody>
    </w:docPart>
    <w:docPart>
      <w:docPartPr>
        <w:name w:val="DFC857F6A09B4F748C9A1717E00A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702E-252C-4B02-899C-CE7038D10E03}"/>
      </w:docPartPr>
      <w:docPartBody>
        <w:p w:rsidR="00000000" w:rsidRDefault="0077364F"/>
      </w:docPartBody>
    </w:docPart>
    <w:docPart>
      <w:docPartPr>
        <w:name w:val="D3FC90729ABF486E97344ECB05E8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7AD4-007C-4FAA-91C3-71FCDC6C6E5B}"/>
      </w:docPartPr>
      <w:docPartBody>
        <w:p w:rsidR="00000000" w:rsidRDefault="00B81AB2" w:rsidP="00B81AB2">
          <w:pPr>
            <w:pStyle w:val="D3FC90729ABF486E97344ECB05E8C7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115E6092A54C3C8552D4E45D7A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3E9C-3210-44B4-A897-D7AF6BE54ADD}"/>
      </w:docPartPr>
      <w:docPartBody>
        <w:p w:rsidR="00000000" w:rsidRDefault="0077364F"/>
      </w:docPartBody>
    </w:docPart>
    <w:docPart>
      <w:docPartPr>
        <w:name w:val="7D14EA57988B4B08ADFAC0C3A186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181F-75AF-48E8-B859-2D497E1CFDB8}"/>
      </w:docPartPr>
      <w:docPartBody>
        <w:p w:rsidR="00000000" w:rsidRDefault="0077364F"/>
      </w:docPartBody>
    </w:docPart>
    <w:docPart>
      <w:docPartPr>
        <w:name w:val="6EE2FA29651C4B338E0C5DD11582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6FEA-F95C-4166-868B-C934A2E5BE65}"/>
      </w:docPartPr>
      <w:docPartBody>
        <w:p w:rsidR="00000000" w:rsidRDefault="00B81AB2" w:rsidP="00B81AB2">
          <w:pPr>
            <w:pStyle w:val="6EE2FA29651C4B338E0C5DD11582027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3AE959CB16C45B39757D47BFDE7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5CF5-DFCE-4EEE-B521-D919D8418E7B}"/>
      </w:docPartPr>
      <w:docPartBody>
        <w:p w:rsidR="00000000" w:rsidRDefault="0077364F"/>
      </w:docPartBody>
    </w:docPart>
    <w:docPart>
      <w:docPartPr>
        <w:name w:val="D10B3954CCC2477B853CF8A014DA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212C-4CFE-4267-A4B8-659BD056C115}"/>
      </w:docPartPr>
      <w:docPartBody>
        <w:p w:rsidR="00000000" w:rsidRDefault="007736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7364F"/>
    <w:rsid w:val="008C55F7"/>
    <w:rsid w:val="0090598B"/>
    <w:rsid w:val="00984D6C"/>
    <w:rsid w:val="00A54AD6"/>
    <w:rsid w:val="00A57564"/>
    <w:rsid w:val="00B252A4"/>
    <w:rsid w:val="00B5530B"/>
    <w:rsid w:val="00B81AB2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AB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FC90729ABF486E97344ECB05E8C704">
    <w:name w:val="D3FC90729ABF486E97344ECB05E8C704"/>
    <w:rsid w:val="00B81AB2"/>
    <w:pPr>
      <w:spacing w:after="160" w:line="259" w:lineRule="auto"/>
    </w:pPr>
  </w:style>
  <w:style w:type="paragraph" w:customStyle="1" w:styleId="6EE2FA29651C4B338E0C5DD115820273">
    <w:name w:val="6EE2FA29651C4B338E0C5DD115820273"/>
    <w:rsid w:val="00B81A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38529AF-020D-43DD-93B6-17C176F9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980</Words>
  <Characters>5591</Characters>
  <Application>Microsoft Office Word</Application>
  <DocSecurity>0</DocSecurity>
  <Lines>46</Lines>
  <Paragraphs>13</Paragraphs>
  <ScaleCrop>false</ScaleCrop>
  <Company>Texas Legislative Council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2021-03-18T14:52:00Z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