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06D67" w14:paraId="0387B611" w14:textId="77777777" w:rsidTr="00345119">
        <w:tc>
          <w:tcPr>
            <w:tcW w:w="9576" w:type="dxa"/>
            <w:noWrap/>
          </w:tcPr>
          <w:p w14:paraId="779AAA64" w14:textId="77777777" w:rsidR="008423E4" w:rsidRPr="0022177D" w:rsidRDefault="00FB497B" w:rsidP="0010023B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86067D8" w14:textId="77777777" w:rsidR="008423E4" w:rsidRPr="0022177D" w:rsidRDefault="008423E4" w:rsidP="0010023B">
      <w:pPr>
        <w:jc w:val="center"/>
      </w:pPr>
    </w:p>
    <w:p w14:paraId="757C8FC0" w14:textId="77777777" w:rsidR="008423E4" w:rsidRPr="00B31F0E" w:rsidRDefault="008423E4" w:rsidP="0010023B"/>
    <w:p w14:paraId="46A3A120" w14:textId="77777777" w:rsidR="008423E4" w:rsidRPr="00742794" w:rsidRDefault="008423E4" w:rsidP="0010023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06D67" w14:paraId="72843F17" w14:textId="77777777" w:rsidTr="00345119">
        <w:tc>
          <w:tcPr>
            <w:tcW w:w="9576" w:type="dxa"/>
          </w:tcPr>
          <w:p w14:paraId="0E692384" w14:textId="264ACAFA" w:rsidR="008423E4" w:rsidRPr="00861995" w:rsidRDefault="00FB497B" w:rsidP="0010023B">
            <w:pPr>
              <w:jc w:val="right"/>
            </w:pPr>
            <w:r>
              <w:t>C.S.S.B. 10</w:t>
            </w:r>
          </w:p>
        </w:tc>
      </w:tr>
      <w:tr w:rsidR="00D06D67" w14:paraId="6B6942D6" w14:textId="77777777" w:rsidTr="00345119">
        <w:tc>
          <w:tcPr>
            <w:tcW w:w="9576" w:type="dxa"/>
          </w:tcPr>
          <w:p w14:paraId="567541C7" w14:textId="7B6FC049" w:rsidR="008423E4" w:rsidRPr="00861995" w:rsidRDefault="00FB497B" w:rsidP="00AA6F38">
            <w:pPr>
              <w:jc w:val="right"/>
            </w:pPr>
            <w:r>
              <w:t xml:space="preserve">By: </w:t>
            </w:r>
            <w:r w:rsidR="00AA6F38">
              <w:t>Bettencourt</w:t>
            </w:r>
          </w:p>
        </w:tc>
      </w:tr>
      <w:tr w:rsidR="00D06D67" w14:paraId="71C053E7" w14:textId="77777777" w:rsidTr="00345119">
        <w:tc>
          <w:tcPr>
            <w:tcW w:w="9576" w:type="dxa"/>
          </w:tcPr>
          <w:p w14:paraId="4035F9E3" w14:textId="7B8D4FFC" w:rsidR="008423E4" w:rsidRPr="00861995" w:rsidRDefault="00FB497B" w:rsidP="0010023B">
            <w:pPr>
              <w:jc w:val="right"/>
            </w:pPr>
            <w:r>
              <w:t>State Affairs</w:t>
            </w:r>
          </w:p>
        </w:tc>
      </w:tr>
      <w:tr w:rsidR="00D06D67" w14:paraId="42BBDA64" w14:textId="77777777" w:rsidTr="00345119">
        <w:tc>
          <w:tcPr>
            <w:tcW w:w="9576" w:type="dxa"/>
          </w:tcPr>
          <w:p w14:paraId="7A5FA7F8" w14:textId="09D323A2" w:rsidR="008423E4" w:rsidRDefault="00FB497B" w:rsidP="0010023B">
            <w:pPr>
              <w:jc w:val="right"/>
            </w:pPr>
            <w:r>
              <w:t>Committee Report (Substituted)</w:t>
            </w:r>
          </w:p>
        </w:tc>
      </w:tr>
    </w:tbl>
    <w:p w14:paraId="3BB60D90" w14:textId="77777777" w:rsidR="008423E4" w:rsidRDefault="008423E4" w:rsidP="0010023B">
      <w:pPr>
        <w:tabs>
          <w:tab w:val="right" w:pos="9360"/>
        </w:tabs>
      </w:pPr>
    </w:p>
    <w:p w14:paraId="523321FB" w14:textId="77777777" w:rsidR="008423E4" w:rsidRDefault="008423E4" w:rsidP="0010023B"/>
    <w:p w14:paraId="0EAB7DC4" w14:textId="77777777" w:rsidR="008423E4" w:rsidRDefault="008423E4" w:rsidP="0010023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06D67" w14:paraId="014CC067" w14:textId="77777777" w:rsidTr="00AC6944">
        <w:tc>
          <w:tcPr>
            <w:tcW w:w="9360" w:type="dxa"/>
          </w:tcPr>
          <w:p w14:paraId="64048B0A" w14:textId="77777777" w:rsidR="008423E4" w:rsidRPr="00A8133F" w:rsidRDefault="00FB497B" w:rsidP="0010023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D56D960" w14:textId="77777777" w:rsidR="008423E4" w:rsidRDefault="008423E4" w:rsidP="0010023B"/>
          <w:p w14:paraId="27DDEA14" w14:textId="4EE44EDB" w:rsidR="008423E4" w:rsidRDefault="00FB497B" w:rsidP="0010023B">
            <w:pPr>
              <w:pStyle w:val="Header"/>
              <w:jc w:val="both"/>
            </w:pPr>
            <w:r>
              <w:t>There have been calls for greater transparency when political subdivisions or certain other governmental or nonprofit entities spend</w:t>
            </w:r>
            <w:r>
              <w:t xml:space="preserve"> public money or provide compensation to lobbyists</w:t>
            </w:r>
            <w:r w:rsidR="00440F3B">
              <w:t xml:space="preserve">. </w:t>
            </w:r>
            <w:r>
              <w:t>Often the amount spent on lobbyists is included as a line</w:t>
            </w:r>
            <w:r w:rsidR="0045326A">
              <w:t xml:space="preserve"> </w:t>
            </w:r>
            <w:r>
              <w:t xml:space="preserve">item in the entity's budget </w:t>
            </w:r>
            <w:r w:rsidR="00C72075">
              <w:t>and thus not easy for</w:t>
            </w:r>
            <w:r>
              <w:t xml:space="preserve"> the average taxpayer </w:t>
            </w:r>
            <w:r w:rsidR="00C72075">
              <w:t>to</w:t>
            </w:r>
            <w:r>
              <w:t xml:space="preserve"> find.</w:t>
            </w:r>
            <w:r w:rsidR="00C72075">
              <w:t xml:space="preserve"> Additionally, it has been suggested that t</w:t>
            </w:r>
            <w:r w:rsidR="00440F3B">
              <w:t xml:space="preserve">axpayers should not have to foot the bill for lobbying that advocates against their interests, such as </w:t>
            </w:r>
            <w:r w:rsidR="0026093C">
              <w:t xml:space="preserve">lobbying </w:t>
            </w:r>
            <w:r w:rsidR="00440F3B">
              <w:t xml:space="preserve">against bills that could lead to lower </w:t>
            </w:r>
            <w:r w:rsidR="00C72075">
              <w:t xml:space="preserve">property </w:t>
            </w:r>
            <w:r w:rsidR="00440F3B">
              <w:t xml:space="preserve">taxes. </w:t>
            </w:r>
            <w:r w:rsidR="00C72075">
              <w:t xml:space="preserve">C.S.S.B. 10 seeks to address these issues by </w:t>
            </w:r>
            <w:r w:rsidR="00CC4CE8">
              <w:t>requiring a public vote of the governing body at an open meeting before</w:t>
            </w:r>
            <w:r w:rsidR="00C72075">
              <w:t xml:space="preserve"> certain political subdivisions and other governmental and nonprofit entities </w:t>
            </w:r>
            <w:r w:rsidR="00CC4CE8">
              <w:t>may</w:t>
            </w:r>
            <w:r w:rsidR="00C72075">
              <w:t xml:space="preserve"> spend public money or </w:t>
            </w:r>
            <w:r w:rsidR="00CC4CE8">
              <w:t xml:space="preserve">otherwise compensate a contracted </w:t>
            </w:r>
            <w:r w:rsidR="00C72075">
              <w:t xml:space="preserve">lobbyist to influence </w:t>
            </w:r>
            <w:r w:rsidR="00CC4CE8">
              <w:t xml:space="preserve">pending </w:t>
            </w:r>
            <w:r w:rsidR="00C72075">
              <w:t>legislation, prohibiting a contracted lobbyist from attempting to influence certain tax measures, and providing for the public disclosure of certain information relating to lobbying contracts.</w:t>
            </w:r>
          </w:p>
          <w:p w14:paraId="0769CF92" w14:textId="77777777" w:rsidR="008423E4" w:rsidRPr="00E26B13" w:rsidRDefault="008423E4" w:rsidP="0010023B">
            <w:pPr>
              <w:rPr>
                <w:b/>
              </w:rPr>
            </w:pPr>
          </w:p>
        </w:tc>
      </w:tr>
      <w:tr w:rsidR="00D06D67" w14:paraId="0C167943" w14:textId="77777777" w:rsidTr="00AC6944">
        <w:tc>
          <w:tcPr>
            <w:tcW w:w="9360" w:type="dxa"/>
          </w:tcPr>
          <w:p w14:paraId="787DD0E8" w14:textId="77777777" w:rsidR="0017725B" w:rsidRDefault="00FB497B" w:rsidP="0010023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DC45BE8" w14:textId="77777777" w:rsidR="0017725B" w:rsidRDefault="0017725B" w:rsidP="0010023B">
            <w:pPr>
              <w:rPr>
                <w:b/>
                <w:u w:val="single"/>
              </w:rPr>
            </w:pPr>
          </w:p>
          <w:p w14:paraId="41068974" w14:textId="77777777" w:rsidR="00C96849" w:rsidRPr="00C96849" w:rsidRDefault="00FB497B" w:rsidP="0010023B">
            <w:pPr>
              <w:jc w:val="both"/>
            </w:pPr>
            <w:r>
              <w:t>It is the committee's opinion that this bill does not expressly create a criminal offense, increase the punishment for an</w:t>
            </w:r>
            <w:r>
              <w:t xml:space="preserve"> existing criminal offense or category of offenses, or change the eligibility of a person for community supervision, parole, or mandatory supervision.</w:t>
            </w:r>
          </w:p>
          <w:p w14:paraId="32D40D7E" w14:textId="77777777" w:rsidR="0017725B" w:rsidRPr="0017725B" w:rsidRDefault="0017725B" w:rsidP="0010023B">
            <w:pPr>
              <w:rPr>
                <w:b/>
                <w:u w:val="single"/>
              </w:rPr>
            </w:pPr>
          </w:p>
        </w:tc>
      </w:tr>
      <w:tr w:rsidR="00D06D67" w14:paraId="34436A8D" w14:textId="77777777" w:rsidTr="00AC6944">
        <w:tc>
          <w:tcPr>
            <w:tcW w:w="9360" w:type="dxa"/>
          </w:tcPr>
          <w:p w14:paraId="5536B4B0" w14:textId="77777777" w:rsidR="008423E4" w:rsidRPr="00A8133F" w:rsidRDefault="00FB497B" w:rsidP="0010023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EBEAA5E" w14:textId="77777777" w:rsidR="008423E4" w:rsidRDefault="008423E4" w:rsidP="0010023B"/>
          <w:p w14:paraId="639A973C" w14:textId="77777777" w:rsidR="00C96849" w:rsidRDefault="00FB497B" w:rsidP="001002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3CA8D6C0" w14:textId="77777777" w:rsidR="008423E4" w:rsidRPr="00E21FDC" w:rsidRDefault="008423E4" w:rsidP="0010023B">
            <w:pPr>
              <w:rPr>
                <w:b/>
              </w:rPr>
            </w:pPr>
          </w:p>
        </w:tc>
      </w:tr>
      <w:tr w:rsidR="00D06D67" w14:paraId="6C65C31A" w14:textId="77777777" w:rsidTr="00AC6944">
        <w:tc>
          <w:tcPr>
            <w:tcW w:w="9360" w:type="dxa"/>
          </w:tcPr>
          <w:p w14:paraId="195B8528" w14:textId="77777777" w:rsidR="008423E4" w:rsidRPr="00A8133F" w:rsidRDefault="00FB497B" w:rsidP="0010023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7101284" w14:textId="77777777" w:rsidR="008423E4" w:rsidRDefault="008423E4" w:rsidP="0010023B"/>
          <w:p w14:paraId="5B6F9F80" w14:textId="4830C887" w:rsidR="00A26389" w:rsidRDefault="00FB497B" w:rsidP="0010023B">
            <w:pPr>
              <w:pStyle w:val="Header"/>
              <w:jc w:val="both"/>
            </w:pPr>
            <w:r>
              <w:t>C.S.S.B. 10</w:t>
            </w:r>
            <w:r w:rsidR="00C96849">
              <w:t xml:space="preserve"> amends the Government Code to </w:t>
            </w:r>
            <w:r w:rsidR="00FC0B32">
              <w:t xml:space="preserve">restrict </w:t>
            </w:r>
            <w:r w:rsidR="00DC45C9">
              <w:t>the authority of</w:t>
            </w:r>
            <w:r w:rsidR="00C96849">
              <w:t xml:space="preserve"> the </w:t>
            </w:r>
            <w:r w:rsidR="00C96849" w:rsidRPr="00C96849">
              <w:t xml:space="preserve">governing body of </w:t>
            </w:r>
            <w:r w:rsidR="006D2F89">
              <w:t xml:space="preserve">a political subdivision or other </w:t>
            </w:r>
            <w:r>
              <w:t>entity</w:t>
            </w:r>
            <w:r w:rsidR="00C96849" w:rsidRPr="00C96849">
              <w:t xml:space="preserve"> </w:t>
            </w:r>
            <w:r>
              <w:t>to</w:t>
            </w:r>
            <w:r w:rsidRPr="00C96849">
              <w:t xml:space="preserve"> </w:t>
            </w:r>
            <w:r w:rsidR="00C96849" w:rsidRPr="00C96849">
              <w:t>spend public money or provid</w:t>
            </w:r>
            <w:r>
              <w:t>e</w:t>
            </w:r>
            <w:r w:rsidR="00C96849" w:rsidRPr="00C96849">
              <w:t xml:space="preserve"> other compensation to contract with a person required </w:t>
            </w:r>
            <w:r w:rsidR="00FC0B32">
              <w:t xml:space="preserve">by state law </w:t>
            </w:r>
            <w:r w:rsidR="00C96849" w:rsidRPr="00C96849">
              <w:t xml:space="preserve">to register as a lobbyist </w:t>
            </w:r>
            <w:r>
              <w:t>for the purpose of</w:t>
            </w:r>
            <w:r w:rsidRPr="00C96849">
              <w:t xml:space="preserve"> </w:t>
            </w:r>
            <w:r w:rsidR="00C96849" w:rsidRPr="00C96849">
              <w:t>communicat</w:t>
            </w:r>
            <w:r>
              <w:t>ing</w:t>
            </w:r>
            <w:r w:rsidR="00C96849" w:rsidRPr="00C96849">
              <w:t xml:space="preserve"> directly with one or more members of the legislative branch to influence legislation </w:t>
            </w:r>
            <w:r w:rsidR="006D2F89">
              <w:t xml:space="preserve">pending before the legislature </w:t>
            </w:r>
            <w:r w:rsidR="00FC0B32">
              <w:t>by imposing the following conditions:</w:t>
            </w:r>
          </w:p>
          <w:p w14:paraId="6518A51E" w14:textId="0E0A6E87" w:rsidR="00FC0B32" w:rsidRDefault="00FB497B" w:rsidP="0010023B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the expenditure must be </w:t>
            </w:r>
            <w:r w:rsidR="00C96849">
              <w:t>authorized by a majority vote of the governing body</w:t>
            </w:r>
            <w:r w:rsidR="00726176">
              <w:t xml:space="preserve"> of the political subdivision or other entity</w:t>
            </w:r>
            <w:r w:rsidR="00C96849">
              <w:t xml:space="preserve"> in an open meeting</w:t>
            </w:r>
            <w:r>
              <w:t>; and</w:t>
            </w:r>
          </w:p>
          <w:p w14:paraId="6D80D023" w14:textId="5A09A086" w:rsidR="00777314" w:rsidRDefault="00FB497B" w:rsidP="0010023B">
            <w:pPr>
              <w:pStyle w:val="Header"/>
              <w:numPr>
                <w:ilvl w:val="0"/>
                <w:numId w:val="6"/>
              </w:numPr>
              <w:jc w:val="both"/>
            </w:pPr>
            <w:r>
              <w:t>the expenditure must be</w:t>
            </w:r>
            <w:r w:rsidR="00C96849">
              <w:t xml:space="preserve"> voted on by the governing body as a stand-alone item on th</w:t>
            </w:r>
            <w:r>
              <w:t>at meeting's</w:t>
            </w:r>
            <w:r w:rsidR="00C96849">
              <w:t xml:space="preserve"> agenda</w:t>
            </w:r>
            <w:r>
              <w:t>.</w:t>
            </w:r>
          </w:p>
          <w:p w14:paraId="6EA33AA0" w14:textId="01116895" w:rsidR="009C36CD" w:rsidRDefault="00FB497B" w:rsidP="0010023B">
            <w:pPr>
              <w:pStyle w:val="Header"/>
              <w:jc w:val="both"/>
            </w:pPr>
            <w:r>
              <w:t>The restriction applies to the following entities</w:t>
            </w:r>
            <w:r w:rsidR="00C96849">
              <w:t>:</w:t>
            </w:r>
          </w:p>
          <w:p w14:paraId="070D02D1" w14:textId="77777777" w:rsidR="00C96849" w:rsidRDefault="00FB497B" w:rsidP="0010023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political subdivision that imposes a tax;</w:t>
            </w:r>
          </w:p>
          <w:p w14:paraId="1931B49D" w14:textId="14FA92AF" w:rsidR="00C96849" w:rsidRDefault="00FB497B" w:rsidP="0010023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political subdivision or special district that has the authority to issue bonds</w:t>
            </w:r>
            <w:r w:rsidR="00A554C1">
              <w:t>, including revenue bonds</w:t>
            </w:r>
            <w:r>
              <w:t>;</w:t>
            </w:r>
          </w:p>
          <w:p w14:paraId="22EAB6B7" w14:textId="77777777" w:rsidR="00C96849" w:rsidRDefault="00FB497B" w:rsidP="0010023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regional mobility authority</w:t>
            </w:r>
            <w:r>
              <w:t>;</w:t>
            </w:r>
          </w:p>
          <w:p w14:paraId="21704F7E" w14:textId="77777777" w:rsidR="00C96849" w:rsidRDefault="00FB497B" w:rsidP="0010023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transit authority;</w:t>
            </w:r>
          </w:p>
          <w:p w14:paraId="6CA65369" w14:textId="77777777" w:rsidR="00C96849" w:rsidRDefault="00FB497B" w:rsidP="0010023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regional tollway authority;</w:t>
            </w:r>
          </w:p>
          <w:p w14:paraId="43DADDA7" w14:textId="7AD4E8CD" w:rsidR="00C96849" w:rsidRDefault="00FB497B" w:rsidP="0010023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special purpose district</w:t>
            </w:r>
            <w:r w:rsidR="006D2F89">
              <w:t>, including a municipal utility district and a municipal management district</w:t>
            </w:r>
            <w:r>
              <w:t>;</w:t>
            </w:r>
          </w:p>
          <w:p w14:paraId="3E7628E8" w14:textId="77777777" w:rsidR="00C96849" w:rsidRDefault="00FB497B" w:rsidP="0010023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public institution of higher education;</w:t>
            </w:r>
          </w:p>
          <w:p w14:paraId="560C32EF" w14:textId="77777777" w:rsidR="00C96849" w:rsidRDefault="00FB497B" w:rsidP="0010023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community college district;</w:t>
            </w:r>
          </w:p>
          <w:p w14:paraId="2D0ACED2" w14:textId="77777777" w:rsidR="00C96849" w:rsidRDefault="00FB497B" w:rsidP="0010023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publicly owned utility; </w:t>
            </w:r>
            <w:r>
              <w:t>or</w:t>
            </w:r>
          </w:p>
          <w:p w14:paraId="12AD1985" w14:textId="52F1B580" w:rsidR="00C96849" w:rsidRDefault="00FB497B" w:rsidP="0010023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river authority or water supply corporation.</w:t>
            </w:r>
          </w:p>
          <w:p w14:paraId="190117CB" w14:textId="77777777" w:rsidR="00777314" w:rsidRDefault="00777314" w:rsidP="0010023B">
            <w:pPr>
              <w:pStyle w:val="Header"/>
              <w:jc w:val="both"/>
            </w:pPr>
          </w:p>
          <w:p w14:paraId="0BF9CF5B" w14:textId="16388DE7" w:rsidR="008E36EF" w:rsidRDefault="00FB497B" w:rsidP="0010023B">
            <w:pPr>
              <w:pStyle w:val="Header"/>
              <w:jc w:val="both"/>
            </w:pPr>
            <w:r>
              <w:t>C.S.S.B. 10</w:t>
            </w:r>
            <w:r w:rsidR="00C0074F">
              <w:t xml:space="preserve"> prohibits</w:t>
            </w:r>
            <w:r>
              <w:t xml:space="preserve"> a registrant with whom </w:t>
            </w:r>
            <w:r w:rsidR="00121FF6">
              <w:t>an applicable</w:t>
            </w:r>
            <w:r>
              <w:t xml:space="preserve"> political subdivision or other entity contracts </w:t>
            </w:r>
            <w:r w:rsidR="00121FF6">
              <w:t>from</w:t>
            </w:r>
            <w:r>
              <w:t xml:space="preserve"> </w:t>
            </w:r>
            <w:r w:rsidRPr="008E36EF">
              <w:t>communicat</w:t>
            </w:r>
            <w:r w:rsidR="00121FF6">
              <w:t>ing</w:t>
            </w:r>
            <w:r w:rsidRPr="008E36EF">
              <w:t xml:space="preserve"> directly with a member of the legislative branch on behalf of the </w:t>
            </w:r>
            <w:r w:rsidR="004F2E6F">
              <w:t>applicable</w:t>
            </w:r>
            <w:r w:rsidRPr="008E36EF">
              <w:t xml:space="preserve"> en</w:t>
            </w:r>
            <w:r w:rsidRPr="008E36EF">
              <w:t xml:space="preserve">tity regarding legislation </w:t>
            </w:r>
            <w:r w:rsidR="006D2F89" w:rsidRPr="008E36EF">
              <w:t xml:space="preserve">pending </w:t>
            </w:r>
            <w:r w:rsidR="006D2F89">
              <w:t xml:space="preserve">before the legislature </w:t>
            </w:r>
            <w:r w:rsidRPr="008E36EF">
              <w:t>that specifically proposes to</w:t>
            </w:r>
            <w:r>
              <w:t xml:space="preserve"> amend </w:t>
            </w:r>
            <w:r w:rsidR="00121FF6">
              <w:t xml:space="preserve">certain </w:t>
            </w:r>
            <w:r w:rsidR="004F2E6F">
              <w:t xml:space="preserve">Tax Code </w:t>
            </w:r>
            <w:r>
              <w:t xml:space="preserve">provisions </w:t>
            </w:r>
            <w:r w:rsidR="00121FF6">
              <w:t xml:space="preserve">relating to </w:t>
            </w:r>
            <w:r>
              <w:t xml:space="preserve">the manner in which </w:t>
            </w:r>
            <w:r w:rsidRPr="008E36EF">
              <w:t>the no-new-revenue tax rate and voter-approval tax rate</w:t>
            </w:r>
            <w:r>
              <w:t xml:space="preserve"> are calculated.</w:t>
            </w:r>
            <w:r w:rsidR="00964695">
              <w:t xml:space="preserve"> The bill prohibits </w:t>
            </w:r>
            <w:r w:rsidR="006D2F89">
              <w:t xml:space="preserve">a political subdivision or other </w:t>
            </w:r>
            <w:r w:rsidR="00EF138E">
              <w:t xml:space="preserve">entity from </w:t>
            </w:r>
            <w:r w:rsidR="00964695">
              <w:t>reimburs</w:t>
            </w:r>
            <w:r w:rsidR="00EF138E">
              <w:t>ing</w:t>
            </w:r>
            <w:r w:rsidR="00964695">
              <w:t xml:space="preserve"> </w:t>
            </w:r>
            <w:r w:rsidR="004E4245">
              <w:t xml:space="preserve">a </w:t>
            </w:r>
            <w:r w:rsidR="00964695">
              <w:t xml:space="preserve">registrant for </w:t>
            </w:r>
            <w:r w:rsidR="00964695" w:rsidRPr="00964695">
              <w:t>an expenditure for food, beverages, or entertainment</w:t>
            </w:r>
            <w:r w:rsidR="00121FF6">
              <w:t>.</w:t>
            </w:r>
          </w:p>
          <w:p w14:paraId="7C71D931" w14:textId="2C8653BB" w:rsidR="008E36EF" w:rsidRDefault="008E36EF" w:rsidP="0010023B">
            <w:pPr>
              <w:pStyle w:val="Header"/>
              <w:jc w:val="both"/>
            </w:pPr>
          </w:p>
          <w:p w14:paraId="3846F265" w14:textId="5BAAA9A2" w:rsidR="008E36EF" w:rsidRDefault="00FB497B" w:rsidP="0010023B">
            <w:pPr>
              <w:pStyle w:val="Header"/>
              <w:jc w:val="both"/>
            </w:pPr>
            <w:r>
              <w:t xml:space="preserve">C.S.S.B. 10 repeals </w:t>
            </w:r>
            <w:r w:rsidR="00EC1B98">
              <w:t xml:space="preserve">provisions </w:t>
            </w:r>
            <w:r w:rsidR="00717154">
              <w:t xml:space="preserve">requiring a political subdivision </w:t>
            </w:r>
            <w:r w:rsidR="00964695">
              <w:t>to</w:t>
            </w:r>
            <w:r w:rsidR="00EC1B98">
              <w:t xml:space="preserve"> disclose and itemiz</w:t>
            </w:r>
            <w:r w:rsidR="00717154">
              <w:t>e</w:t>
            </w:r>
            <w:r w:rsidR="00EC1B98">
              <w:t xml:space="preserve"> certain expenditures relating to lobbying activities after entering into a consulting services contract. The bill instead requires a political subdivision or other entity that contracts with a registrant in accordance with the bill's provisions to publish the following </w:t>
            </w:r>
            <w:r w:rsidR="00EC1B98" w:rsidRPr="00EC1B98">
              <w:t xml:space="preserve">on </w:t>
            </w:r>
            <w:r w:rsidR="00EC1B98">
              <w:t>its</w:t>
            </w:r>
            <w:r w:rsidR="00EC1B98" w:rsidRPr="00EC1B98">
              <w:t xml:space="preserve"> website</w:t>
            </w:r>
            <w:r w:rsidR="00EC1B98">
              <w:t>:</w:t>
            </w:r>
          </w:p>
          <w:p w14:paraId="4AFF5FEA" w14:textId="01DC0CD8" w:rsidR="00EC1B98" w:rsidRDefault="00FB497B" w:rsidP="0010023B">
            <w:pPr>
              <w:pStyle w:val="Header"/>
              <w:numPr>
                <w:ilvl w:val="0"/>
                <w:numId w:val="2"/>
              </w:numPr>
              <w:jc w:val="both"/>
            </w:pPr>
            <w:r>
              <w:t>the amount of money</w:t>
            </w:r>
            <w:r>
              <w:t xml:space="preserve"> authorized for the purpose of contracting with the registrant;</w:t>
            </w:r>
          </w:p>
          <w:p w14:paraId="65E764A3" w14:textId="3232FD1E" w:rsidR="00EC1B98" w:rsidRDefault="00FB497B" w:rsidP="0010023B">
            <w:pPr>
              <w:pStyle w:val="Header"/>
              <w:numPr>
                <w:ilvl w:val="0"/>
                <w:numId w:val="2"/>
              </w:numPr>
              <w:jc w:val="both"/>
            </w:pPr>
            <w:r>
              <w:t>the registrant's name;</w:t>
            </w:r>
          </w:p>
          <w:p w14:paraId="793139DE" w14:textId="1A273C9F" w:rsidR="00EC1B98" w:rsidRDefault="00FB497B" w:rsidP="0010023B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 copy of the contract;</w:t>
            </w:r>
          </w:p>
          <w:p w14:paraId="5E5BF71D" w14:textId="6967389E" w:rsidR="00EC1B98" w:rsidRDefault="00FB497B" w:rsidP="0010023B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the amount of money, if any, spent by the </w:t>
            </w:r>
            <w:r w:rsidR="006D2F89">
              <w:t xml:space="preserve">political subdivision or other </w:t>
            </w:r>
            <w:r>
              <w:t>entity for membership fees or dues to a nonprofit state association or o</w:t>
            </w:r>
            <w:r>
              <w:t>rganization of similarly situated political subdivisions or entities that contracts with a registrant; and</w:t>
            </w:r>
          </w:p>
          <w:p w14:paraId="26CCBFC9" w14:textId="0AFC33E5" w:rsidR="00EC1B98" w:rsidRDefault="00FB497B" w:rsidP="0010023B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 copy of any current legislative agenda or resolution adopted by the entity.</w:t>
            </w:r>
          </w:p>
          <w:p w14:paraId="2632F25F" w14:textId="09ABDAE7" w:rsidR="00EF138E" w:rsidRDefault="00EF138E" w:rsidP="0010023B">
            <w:pPr>
              <w:pStyle w:val="Header"/>
              <w:jc w:val="both"/>
            </w:pPr>
          </w:p>
          <w:p w14:paraId="27CB2D35" w14:textId="77777777" w:rsidR="006D2F89" w:rsidRDefault="00FB497B" w:rsidP="0010023B">
            <w:pPr>
              <w:pStyle w:val="Header"/>
              <w:jc w:val="both"/>
            </w:pPr>
            <w:r>
              <w:t>C.S.S.B. 10 authorizes a resident of or person receiving services from</w:t>
            </w:r>
            <w:r>
              <w:t xml:space="preserve"> an applicable political subdivision or other entity that does not comply with the bill's </w:t>
            </w:r>
            <w:r w:rsidR="00C74533">
              <w:t>provisions</w:t>
            </w:r>
            <w:r>
              <w:t xml:space="preserve"> relating to lobbying expenditures and reimbursements to file a sworn complaint against the entity with the Texas Ethics Commission. </w:t>
            </w:r>
          </w:p>
          <w:p w14:paraId="7CA88600" w14:textId="77777777" w:rsidR="006D2F89" w:rsidRDefault="006D2F89" w:rsidP="0010023B">
            <w:pPr>
              <w:pStyle w:val="Header"/>
              <w:jc w:val="both"/>
            </w:pPr>
          </w:p>
          <w:p w14:paraId="110A761B" w14:textId="65D83FA2" w:rsidR="00EF138E" w:rsidRDefault="00FB497B" w:rsidP="0010023B">
            <w:pPr>
              <w:pStyle w:val="Header"/>
              <w:jc w:val="both"/>
            </w:pPr>
            <w:r>
              <w:t xml:space="preserve">C.S.S.B. 10 </w:t>
            </w:r>
            <w:r w:rsidR="00C74533">
              <w:t xml:space="preserve">expressly </w:t>
            </w:r>
            <w:r>
              <w:t xml:space="preserve">does not prevent </w:t>
            </w:r>
            <w:r w:rsidRPr="00EF138E">
              <w:t>an officer or employee of</w:t>
            </w:r>
            <w:r>
              <w:t xml:space="preserve"> </w:t>
            </w:r>
            <w:r w:rsidR="00C74533">
              <w:t>an applicable</w:t>
            </w:r>
            <w:r w:rsidRPr="00EF138E">
              <w:t xml:space="preserve"> entity</w:t>
            </w:r>
            <w:r>
              <w:t xml:space="preserve"> from doing any of the following:</w:t>
            </w:r>
          </w:p>
          <w:p w14:paraId="19CC7782" w14:textId="77777777" w:rsidR="00EF138E" w:rsidRDefault="00FB497B" w:rsidP="0010023B">
            <w:pPr>
              <w:pStyle w:val="Header"/>
              <w:numPr>
                <w:ilvl w:val="0"/>
                <w:numId w:val="3"/>
              </w:numPr>
              <w:jc w:val="both"/>
            </w:pPr>
            <w:r>
              <w:t>providing information for a member of the legislative branch;</w:t>
            </w:r>
          </w:p>
          <w:p w14:paraId="3A2AFA69" w14:textId="71CBD037" w:rsidR="00EF138E" w:rsidRDefault="00FB497B" w:rsidP="0010023B">
            <w:pPr>
              <w:pStyle w:val="Header"/>
              <w:numPr>
                <w:ilvl w:val="0"/>
                <w:numId w:val="3"/>
              </w:numPr>
              <w:jc w:val="both"/>
            </w:pPr>
            <w:r>
              <w:t>appearing before a legislative committee; or</w:t>
            </w:r>
          </w:p>
          <w:p w14:paraId="1E635A71" w14:textId="340E0F01" w:rsidR="00EF138E" w:rsidRDefault="00FB497B" w:rsidP="0010023B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communicating directly with one or more </w:t>
            </w:r>
            <w:r>
              <w:t>members of the legislative branch to influence legislation</w:t>
            </w:r>
            <w:r w:rsidR="006D2F89">
              <w:t xml:space="preserve"> pending before the legislature</w:t>
            </w:r>
            <w:r>
              <w:t>.</w:t>
            </w:r>
          </w:p>
          <w:p w14:paraId="43573658" w14:textId="4D385CEB" w:rsidR="00EF138E" w:rsidRDefault="00EF138E" w:rsidP="0010023B">
            <w:pPr>
              <w:pStyle w:val="Header"/>
              <w:jc w:val="both"/>
            </w:pPr>
          </w:p>
          <w:p w14:paraId="06517EB6" w14:textId="5A145CBD" w:rsidR="00EF138E" w:rsidRDefault="00FB497B" w:rsidP="0010023B">
            <w:pPr>
              <w:pStyle w:val="Header"/>
              <w:jc w:val="both"/>
            </w:pPr>
            <w:r>
              <w:t xml:space="preserve">C.S.S.B. 10 exempts a person from the requirement to register as a lobbyist if </w:t>
            </w:r>
            <w:r w:rsidR="007A4D1B">
              <w:t xml:space="preserve">the person </w:t>
            </w:r>
            <w:r>
              <w:t>ha</w:t>
            </w:r>
            <w:r w:rsidR="007A4D1B">
              <w:t>s</w:t>
            </w:r>
            <w:r>
              <w:t xml:space="preserve"> </w:t>
            </w:r>
            <w:r w:rsidRPr="00EF138E">
              <w:t>established an attorney-client relationship with a political subdivisi</w:t>
            </w:r>
            <w:r w:rsidRPr="00EF138E">
              <w:t>on to pro</w:t>
            </w:r>
            <w:r>
              <w:t>vide legal services and receive</w:t>
            </w:r>
            <w:r w:rsidR="007A4D1B">
              <w:t>s</w:t>
            </w:r>
            <w:r>
              <w:t xml:space="preserve"> or </w:t>
            </w:r>
            <w:r w:rsidR="007A4D1B">
              <w:t>is</w:t>
            </w:r>
            <w:r w:rsidR="007A4D1B" w:rsidRPr="00EF138E">
              <w:t xml:space="preserve"> </w:t>
            </w:r>
            <w:r w:rsidRPr="00EF138E">
              <w:t>entitled to receive compensation, reimbursement, or expenses under an agreement under which the person is retained or employed</w:t>
            </w:r>
            <w:r>
              <w:t>.</w:t>
            </w:r>
          </w:p>
          <w:p w14:paraId="184802E8" w14:textId="2613EA18" w:rsidR="00CB4DA0" w:rsidRDefault="00CB4DA0" w:rsidP="0010023B">
            <w:pPr>
              <w:pStyle w:val="Header"/>
              <w:jc w:val="both"/>
            </w:pPr>
          </w:p>
          <w:p w14:paraId="65085815" w14:textId="03C589CC" w:rsidR="00CB4DA0" w:rsidRPr="009C36CD" w:rsidRDefault="00FB497B" w:rsidP="0010023B">
            <w:pPr>
              <w:pStyle w:val="Header"/>
              <w:jc w:val="both"/>
            </w:pPr>
            <w:r>
              <w:t>C.S.S.B. 10 repeals Section 2254.030, Government Code.</w:t>
            </w:r>
          </w:p>
          <w:p w14:paraId="15B8C4E2" w14:textId="77777777" w:rsidR="008423E4" w:rsidRPr="00835628" w:rsidRDefault="008423E4" w:rsidP="0010023B">
            <w:pPr>
              <w:rPr>
                <w:b/>
              </w:rPr>
            </w:pPr>
          </w:p>
        </w:tc>
      </w:tr>
      <w:tr w:rsidR="00D06D67" w14:paraId="01623F51" w14:textId="77777777" w:rsidTr="00AC6944">
        <w:tc>
          <w:tcPr>
            <w:tcW w:w="9360" w:type="dxa"/>
          </w:tcPr>
          <w:p w14:paraId="16FAB4B5" w14:textId="77777777" w:rsidR="008423E4" w:rsidRPr="00A8133F" w:rsidRDefault="00FB497B" w:rsidP="0010023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AF34BC3" w14:textId="77777777" w:rsidR="008423E4" w:rsidRDefault="008423E4" w:rsidP="0010023B"/>
          <w:p w14:paraId="52AE40AB" w14:textId="77777777" w:rsidR="008423E4" w:rsidRPr="003624F2" w:rsidRDefault="00FB497B" w:rsidP="001002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</w:t>
            </w:r>
            <w:r>
              <w:t>mber 1, 2021.</w:t>
            </w:r>
          </w:p>
          <w:p w14:paraId="01F3CF3E" w14:textId="77777777" w:rsidR="008423E4" w:rsidRPr="00233FDB" w:rsidRDefault="008423E4" w:rsidP="0010023B">
            <w:pPr>
              <w:rPr>
                <w:b/>
              </w:rPr>
            </w:pPr>
          </w:p>
        </w:tc>
      </w:tr>
      <w:tr w:rsidR="00D06D67" w14:paraId="6FC2461E" w14:textId="77777777" w:rsidTr="00AC6944">
        <w:tc>
          <w:tcPr>
            <w:tcW w:w="9360" w:type="dxa"/>
          </w:tcPr>
          <w:p w14:paraId="301919D9" w14:textId="77777777" w:rsidR="00AA6F38" w:rsidRDefault="00FB497B" w:rsidP="00AA6F3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73E327AC" w14:textId="77777777" w:rsidR="004F7F73" w:rsidRDefault="004F7F73" w:rsidP="00AA6F38">
            <w:pPr>
              <w:jc w:val="both"/>
              <w:rPr>
                <w:b/>
                <w:u w:val="single"/>
              </w:rPr>
            </w:pPr>
          </w:p>
          <w:p w14:paraId="498EA7E6" w14:textId="77777777" w:rsidR="00AC6944" w:rsidRDefault="00FB497B" w:rsidP="00AC6944">
            <w:pPr>
              <w:jc w:val="both"/>
            </w:pPr>
            <w:r>
              <w:t xml:space="preserve">While C.S.S.B. 10 may differ from the engrossed in minor or nonsubstantive ways, the following summarizes the substantial differences between the engrossed and committee substitute versions of </w:t>
            </w:r>
            <w:r>
              <w:t>the bill.</w:t>
            </w:r>
          </w:p>
          <w:p w14:paraId="00CC10B4" w14:textId="77777777" w:rsidR="00AC6944" w:rsidRDefault="00AC6944" w:rsidP="00AC6944">
            <w:pPr>
              <w:jc w:val="both"/>
            </w:pPr>
          </w:p>
          <w:p w14:paraId="2FA97D51" w14:textId="77777777" w:rsidR="00AC6944" w:rsidRDefault="00FB497B" w:rsidP="00AC6944">
            <w:pPr>
              <w:jc w:val="both"/>
            </w:pPr>
            <w:r>
              <w:t xml:space="preserve">While the engrossed and the substitute each enact restrictions on the expenditure of public money for lobbying activities, the scope and purpose of each version differs as follows: </w:t>
            </w:r>
          </w:p>
          <w:p w14:paraId="1439618C" w14:textId="77777777" w:rsidR="00AC6944" w:rsidRDefault="00FB497B" w:rsidP="00AC6944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whereas the engrossed applied only to counties and municipaliti</w:t>
            </w:r>
            <w:r>
              <w:t>es, the substitute applies to a range of other governmental and nonprofit entities in addition to political subdivisions;</w:t>
            </w:r>
          </w:p>
          <w:p w14:paraId="78600405" w14:textId="77777777" w:rsidR="00AC6944" w:rsidRDefault="00FB497B" w:rsidP="00AC6944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 xml:space="preserve">whereas the engrossed prohibited any expenditure of public money or provision of compensation </w:t>
            </w:r>
            <w:r w:rsidRPr="00EC2935">
              <w:t>to directly or indirectly influence or a</w:t>
            </w:r>
            <w:r w:rsidRPr="00EC2935">
              <w:t>ttempt to influence the outcome of any pending legislation</w:t>
            </w:r>
            <w:r>
              <w:t>,</w:t>
            </w:r>
            <w:r w:rsidRPr="00EC2935">
              <w:t xml:space="preserve"> </w:t>
            </w:r>
            <w:r>
              <w:t>the substitute omits that prohibition; and</w:t>
            </w:r>
          </w:p>
          <w:p w14:paraId="1687394E" w14:textId="77777777" w:rsidR="00AC6944" w:rsidRDefault="00FB497B" w:rsidP="00AC6944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 xml:space="preserve">the substitute instead imposes certain conditions on the manner in which an applicable entity authorizes an expenditure of public money or other compensation to contract for such a purpose with a person </w:t>
            </w:r>
            <w:r w:rsidRPr="00A7047D">
              <w:t xml:space="preserve">required </w:t>
            </w:r>
            <w:r>
              <w:t>under state law</w:t>
            </w:r>
            <w:r w:rsidRPr="00A7047D">
              <w:t xml:space="preserve"> to register as a lobbyist</w:t>
            </w:r>
            <w:r>
              <w:t>.</w:t>
            </w:r>
          </w:p>
          <w:p w14:paraId="5CAE1C68" w14:textId="77777777" w:rsidR="00AC6944" w:rsidRDefault="00AC6944" w:rsidP="00AC6944">
            <w:pPr>
              <w:jc w:val="both"/>
            </w:pPr>
          </w:p>
          <w:p w14:paraId="1E84AF07" w14:textId="77777777" w:rsidR="00AC6944" w:rsidRDefault="00FB497B" w:rsidP="00AC6944">
            <w:pPr>
              <w:jc w:val="both"/>
            </w:pPr>
            <w:r>
              <w:t>The substitute omits a provision from the engrossed prohibiting a</w:t>
            </w:r>
            <w:r w:rsidRPr="00A7047D">
              <w:t xml:space="preserve"> county or municipality </w:t>
            </w:r>
            <w:r>
              <w:t>from</w:t>
            </w:r>
            <w:r w:rsidRPr="00A7047D">
              <w:t xml:space="preserve"> establish</w:t>
            </w:r>
            <w:r>
              <w:t>ing</w:t>
            </w:r>
            <w:r w:rsidRPr="00A7047D">
              <w:t xml:space="preserve"> a nonprofit association or organization that </w:t>
            </w:r>
            <w:r>
              <w:t xml:space="preserve">engages in certain activities in advocating for or against, influencing, or seeking to influence </w:t>
            </w:r>
            <w:r w:rsidRPr="00A7047D">
              <w:t>pending</w:t>
            </w:r>
            <w:r w:rsidRPr="00A7047D">
              <w:t xml:space="preserve"> legislation on behalf of </w:t>
            </w:r>
            <w:r>
              <w:t>the</w:t>
            </w:r>
            <w:r w:rsidRPr="00A7047D">
              <w:t xml:space="preserve"> county or municipality</w:t>
            </w:r>
            <w:r>
              <w:t>. The substitute does not include provisions from the engrossed which specified that the bill expressly does not prevent the following:</w:t>
            </w:r>
          </w:p>
          <w:p w14:paraId="633B72F0" w14:textId="77777777" w:rsidR="00AC6944" w:rsidRDefault="00FB497B" w:rsidP="00AC6944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>advocacy-related actions by an elected officer or employee of a coun</w:t>
            </w:r>
            <w:r>
              <w:t>ty or municipality regarding pending legislation, if those actions do not require registration as a lobbyist under state law and to the extent those actions exceed the following actions mentioned in the substitute:</w:t>
            </w:r>
          </w:p>
          <w:p w14:paraId="7AB54164" w14:textId="77777777" w:rsidR="00AC6944" w:rsidRDefault="00FB497B" w:rsidP="00AC6944">
            <w:pPr>
              <w:pStyle w:val="ListParagraph"/>
              <w:numPr>
                <w:ilvl w:val="1"/>
                <w:numId w:val="8"/>
              </w:numPr>
              <w:contextualSpacing w:val="0"/>
              <w:jc w:val="both"/>
            </w:pPr>
            <w:r>
              <w:t>providing information for a member of the</w:t>
            </w:r>
            <w:r>
              <w:t xml:space="preserve"> legislature;</w:t>
            </w:r>
          </w:p>
          <w:p w14:paraId="169AA23A" w14:textId="77777777" w:rsidR="00AC6944" w:rsidRDefault="00FB497B" w:rsidP="00AC6944">
            <w:pPr>
              <w:pStyle w:val="ListParagraph"/>
              <w:numPr>
                <w:ilvl w:val="1"/>
                <w:numId w:val="8"/>
              </w:numPr>
              <w:contextualSpacing w:val="0"/>
              <w:jc w:val="both"/>
            </w:pPr>
            <w:r>
              <w:t>appearing before a legislative committee; or</w:t>
            </w:r>
          </w:p>
          <w:p w14:paraId="454E3927" w14:textId="77777777" w:rsidR="00AC6944" w:rsidRDefault="00FB497B" w:rsidP="00AC6944">
            <w:pPr>
              <w:pStyle w:val="ListParagraph"/>
              <w:numPr>
                <w:ilvl w:val="1"/>
                <w:numId w:val="8"/>
              </w:numPr>
              <w:contextualSpacing w:val="0"/>
              <w:jc w:val="both"/>
            </w:pPr>
            <w:r>
              <w:t>communicating directly with one or more members of the legislative branch to influence pending legislation;</w:t>
            </w:r>
          </w:p>
          <w:p w14:paraId="64F35BD7" w14:textId="77777777" w:rsidR="00AC6944" w:rsidRDefault="00FB497B" w:rsidP="00AC6944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>reimbursement of such an officer or employee for related travel expenses;</w:t>
            </w:r>
          </w:p>
          <w:p w14:paraId="67173CAA" w14:textId="77777777" w:rsidR="00AC6944" w:rsidRDefault="00FB497B" w:rsidP="00AC6944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>payment of fees</w:t>
            </w:r>
            <w:r>
              <w:t>, dues, or compensation to certain nonprofit state associations or organizations, subject to certain conditions; and</w:t>
            </w:r>
          </w:p>
          <w:p w14:paraId="017F45BD" w14:textId="77777777" w:rsidR="00AC6944" w:rsidRDefault="00FB497B" w:rsidP="00AC6944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>expenditure of public money or other compensation to a registrant specifically for lobbying activities regarding pending legislation relati</w:t>
            </w:r>
            <w:r>
              <w:t>ng to the military, military service members, or military veterans.</w:t>
            </w:r>
          </w:p>
          <w:p w14:paraId="0AA3206E" w14:textId="77777777" w:rsidR="00AC6944" w:rsidRDefault="00FB497B" w:rsidP="00AC6944">
            <w:pPr>
              <w:jc w:val="both"/>
            </w:pPr>
            <w:r>
              <w:t xml:space="preserve"> </w:t>
            </w:r>
          </w:p>
          <w:p w14:paraId="2F1FDB5A" w14:textId="77777777" w:rsidR="00AC6944" w:rsidRDefault="00FB497B" w:rsidP="00AC6944">
            <w:pPr>
              <w:jc w:val="both"/>
            </w:pPr>
            <w:r>
              <w:t>The substitute includes the following provisions that were not in the engrossed regarding compensated registrants:</w:t>
            </w:r>
          </w:p>
          <w:p w14:paraId="742EE44C" w14:textId="77777777" w:rsidR="00AC6944" w:rsidRDefault="00FB497B" w:rsidP="00AC6944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a prohibition against an applicable entity reimbursing</w:t>
            </w:r>
            <w:r w:rsidRPr="005D0E36">
              <w:t xml:space="preserve"> a </w:t>
            </w:r>
            <w:r>
              <w:t>registrant</w:t>
            </w:r>
            <w:r w:rsidRPr="005D0E36">
              <w:t xml:space="preserve"> for an expenditure for food, beverages, or entertainment</w:t>
            </w:r>
            <w:r>
              <w:t xml:space="preserve">; </w:t>
            </w:r>
          </w:p>
          <w:p w14:paraId="45F91C93" w14:textId="77777777" w:rsidR="00AC6944" w:rsidRDefault="00FB497B" w:rsidP="00AC6944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a prohibition against an applicable contracted registrant </w:t>
            </w:r>
            <w:r w:rsidRPr="005D0E36">
              <w:t>communicat</w:t>
            </w:r>
            <w:r>
              <w:t>ing</w:t>
            </w:r>
            <w:r w:rsidRPr="005D0E36">
              <w:t xml:space="preserve"> directly with a member of the legislative branch regarding pending legislation that specifically proposes to amend</w:t>
            </w:r>
            <w:r>
              <w:t xml:space="preserve"> certain T</w:t>
            </w:r>
            <w:r>
              <w:t>ax Code provisions; and</w:t>
            </w:r>
          </w:p>
          <w:p w14:paraId="00CA1749" w14:textId="77777777" w:rsidR="00AC6944" w:rsidRDefault="00FB497B" w:rsidP="00AC6944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an exemption from lobbyist registration requirements for a qualifying person who has an attorney-client relationship with a political </w:t>
            </w:r>
            <w:r w:rsidRPr="00EF138E">
              <w:t>subdivision</w:t>
            </w:r>
            <w:r>
              <w:t>.</w:t>
            </w:r>
          </w:p>
          <w:p w14:paraId="63EC03DD" w14:textId="77777777" w:rsidR="00AC6944" w:rsidRDefault="00AC6944" w:rsidP="00AC6944">
            <w:pPr>
              <w:jc w:val="both"/>
            </w:pPr>
          </w:p>
          <w:p w14:paraId="705D25E7" w14:textId="77777777" w:rsidR="00AC6944" w:rsidRDefault="00FB497B" w:rsidP="00AC6944">
            <w:pPr>
              <w:jc w:val="both"/>
            </w:pPr>
            <w:r>
              <w:t>The substitute includes the following additional provisions that were not in the eng</w:t>
            </w:r>
            <w:r>
              <w:t>rossed:</w:t>
            </w:r>
          </w:p>
          <w:p w14:paraId="4083F472" w14:textId="77777777" w:rsidR="00AC6944" w:rsidRDefault="00FB497B" w:rsidP="00AC6944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a repeal of provisions requiring a political subdivision to disclose and itemize certain expenditures relating to lobbying activities after entering into a consulting services contract; and</w:t>
            </w:r>
          </w:p>
          <w:p w14:paraId="2145980D" w14:textId="77777777" w:rsidR="00AC6944" w:rsidRDefault="00FB497B" w:rsidP="00AC6944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a requirement for an applicable entity that contracts with</w:t>
            </w:r>
            <w:r>
              <w:t xml:space="preserve"> a registrant to publish certain related information </w:t>
            </w:r>
            <w:r w:rsidRPr="00EC1B98">
              <w:t xml:space="preserve">on </w:t>
            </w:r>
            <w:r>
              <w:t>its</w:t>
            </w:r>
            <w:r w:rsidRPr="00EC1B98">
              <w:t xml:space="preserve"> website</w:t>
            </w:r>
            <w:r>
              <w:t>.</w:t>
            </w:r>
          </w:p>
          <w:p w14:paraId="05E6EE03" w14:textId="77777777" w:rsidR="00AC6944" w:rsidRDefault="00AC6944" w:rsidP="00AC6944">
            <w:pPr>
              <w:jc w:val="both"/>
            </w:pPr>
          </w:p>
          <w:p w14:paraId="0745A0EA" w14:textId="77777777" w:rsidR="00AC6944" w:rsidRDefault="00FB497B" w:rsidP="00AC6944">
            <w:pPr>
              <w:jc w:val="both"/>
            </w:pPr>
            <w:r>
              <w:t xml:space="preserve">Whereas the engrossed provided for the enforcement of its provisions through court action for injunctive relief, the substitute provides instead for the filing of a sworn complaint with </w:t>
            </w:r>
            <w:r>
              <w:t>the Texas Ethics Commission. The substitute updates the person who may take the action to reflect the additional entities to which the substitute applies.</w:t>
            </w:r>
          </w:p>
          <w:p w14:paraId="3FA31DFD" w14:textId="6247B477" w:rsidR="00AC6944" w:rsidRPr="00AA6F38" w:rsidRDefault="00AC6944" w:rsidP="00AA6F38">
            <w:pPr>
              <w:jc w:val="both"/>
              <w:rPr>
                <w:b/>
                <w:u w:val="single"/>
              </w:rPr>
            </w:pPr>
          </w:p>
        </w:tc>
      </w:tr>
    </w:tbl>
    <w:p w14:paraId="6B160CF5" w14:textId="77777777" w:rsidR="008423E4" w:rsidRPr="00BE0E75" w:rsidRDefault="008423E4" w:rsidP="0010023B">
      <w:pPr>
        <w:jc w:val="both"/>
        <w:rPr>
          <w:rFonts w:ascii="Arial" w:hAnsi="Arial"/>
          <w:sz w:val="16"/>
          <w:szCs w:val="16"/>
        </w:rPr>
      </w:pPr>
    </w:p>
    <w:p w14:paraId="47FC0EB6" w14:textId="77777777" w:rsidR="004108C3" w:rsidRPr="008423E4" w:rsidRDefault="004108C3" w:rsidP="0010023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95EC6" w14:textId="77777777" w:rsidR="00000000" w:rsidRDefault="00FB497B">
      <w:r>
        <w:separator/>
      </w:r>
    </w:p>
  </w:endnote>
  <w:endnote w:type="continuationSeparator" w:id="0">
    <w:p w14:paraId="1D94CB7C" w14:textId="77777777" w:rsidR="00000000" w:rsidRDefault="00FB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37D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06D67" w14:paraId="528E879A" w14:textId="77777777" w:rsidTr="009C1E9A">
      <w:trPr>
        <w:cantSplit/>
      </w:trPr>
      <w:tc>
        <w:tcPr>
          <w:tcW w:w="0" w:type="pct"/>
        </w:tcPr>
        <w:p w14:paraId="499BF2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AA3A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8B71C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9845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7A726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6D67" w14:paraId="6B824DC6" w14:textId="77777777" w:rsidTr="009C1E9A">
      <w:trPr>
        <w:cantSplit/>
      </w:trPr>
      <w:tc>
        <w:tcPr>
          <w:tcW w:w="0" w:type="pct"/>
        </w:tcPr>
        <w:p w14:paraId="40F50FC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6B80FE" w14:textId="3B056471" w:rsidR="00EC379B" w:rsidRPr="009C1E9A" w:rsidRDefault="00FB497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27932</w:t>
          </w:r>
        </w:p>
      </w:tc>
      <w:tc>
        <w:tcPr>
          <w:tcW w:w="2453" w:type="pct"/>
        </w:tcPr>
        <w:p w14:paraId="7B40441F" w14:textId="14EDFDFC" w:rsidR="00EC379B" w:rsidRDefault="00FB497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E5F73">
            <w:t>21.139.416</w:t>
          </w:r>
          <w:r>
            <w:fldChar w:fldCharType="end"/>
          </w:r>
        </w:p>
      </w:tc>
    </w:tr>
    <w:tr w:rsidR="00D06D67" w14:paraId="11F25A8F" w14:textId="77777777" w:rsidTr="009C1E9A">
      <w:trPr>
        <w:cantSplit/>
      </w:trPr>
      <w:tc>
        <w:tcPr>
          <w:tcW w:w="0" w:type="pct"/>
        </w:tcPr>
        <w:p w14:paraId="00EE902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B1CFF4F" w14:textId="117F477F" w:rsidR="00EC379B" w:rsidRPr="009C1E9A" w:rsidRDefault="00FB497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22529</w:t>
          </w:r>
        </w:p>
      </w:tc>
      <w:tc>
        <w:tcPr>
          <w:tcW w:w="2453" w:type="pct"/>
        </w:tcPr>
        <w:p w14:paraId="027B5D0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1ADC1D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6D67" w14:paraId="2BFA88C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988D753" w14:textId="3B437073" w:rsidR="00EC379B" w:rsidRDefault="00FB497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E5F73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  <w:p w14:paraId="31B947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5DCF4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7485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51FF8" w14:textId="77777777" w:rsidR="00000000" w:rsidRDefault="00FB497B">
      <w:r>
        <w:separator/>
      </w:r>
    </w:p>
  </w:footnote>
  <w:footnote w:type="continuationSeparator" w:id="0">
    <w:p w14:paraId="0951BF86" w14:textId="77777777" w:rsidR="00000000" w:rsidRDefault="00FB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0C2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F6ABA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540E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605"/>
    <w:multiLevelType w:val="hybridMultilevel"/>
    <w:tmpl w:val="D78EF038"/>
    <w:lvl w:ilvl="0" w:tplc="3984E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20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566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AC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CE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AB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A4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C7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086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06DEA"/>
    <w:multiLevelType w:val="hybridMultilevel"/>
    <w:tmpl w:val="02469EA4"/>
    <w:lvl w:ilvl="0" w:tplc="8A648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87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E7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0A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A9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27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85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6E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92D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D1A"/>
    <w:multiLevelType w:val="hybridMultilevel"/>
    <w:tmpl w:val="8F486A16"/>
    <w:lvl w:ilvl="0" w:tplc="6A34A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A8A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A7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6B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0D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A2A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C3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88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6CA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C7F41"/>
    <w:multiLevelType w:val="hybridMultilevel"/>
    <w:tmpl w:val="85220CB8"/>
    <w:lvl w:ilvl="0" w:tplc="6B925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67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46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44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27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CC6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41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2D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1ED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7734B"/>
    <w:multiLevelType w:val="hybridMultilevel"/>
    <w:tmpl w:val="C434A628"/>
    <w:lvl w:ilvl="0" w:tplc="EFCC2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A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4A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CE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0A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1ED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9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AA7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C3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F46FE"/>
    <w:multiLevelType w:val="hybridMultilevel"/>
    <w:tmpl w:val="5E6A93F2"/>
    <w:lvl w:ilvl="0" w:tplc="12F6A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EED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901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A9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25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DC3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05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49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66A4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0613A"/>
    <w:multiLevelType w:val="hybridMultilevel"/>
    <w:tmpl w:val="6630B452"/>
    <w:lvl w:ilvl="0" w:tplc="AA0C2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C66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00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EE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07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D41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85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0F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DA3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82461"/>
    <w:multiLevelType w:val="hybridMultilevel"/>
    <w:tmpl w:val="8B4AFDE0"/>
    <w:lvl w:ilvl="0" w:tplc="0EDA0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89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48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C9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02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2A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C0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EF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280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A2"/>
    <w:rsid w:val="00000A70"/>
    <w:rsid w:val="00000D4A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7D6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703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023B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FF6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93C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D48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DD1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1C7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9E6"/>
    <w:rsid w:val="004166BB"/>
    <w:rsid w:val="004174CD"/>
    <w:rsid w:val="004241AA"/>
    <w:rsid w:val="0042422E"/>
    <w:rsid w:val="0043190E"/>
    <w:rsid w:val="004324E9"/>
    <w:rsid w:val="004350F3"/>
    <w:rsid w:val="00436980"/>
    <w:rsid w:val="00440F3B"/>
    <w:rsid w:val="00441016"/>
    <w:rsid w:val="00441F2F"/>
    <w:rsid w:val="0044228B"/>
    <w:rsid w:val="00447018"/>
    <w:rsid w:val="00450561"/>
    <w:rsid w:val="00450A40"/>
    <w:rsid w:val="00451D7C"/>
    <w:rsid w:val="00452FC3"/>
    <w:rsid w:val="0045326A"/>
    <w:rsid w:val="00455936"/>
    <w:rsid w:val="00455ACE"/>
    <w:rsid w:val="00460054"/>
    <w:rsid w:val="0046163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08D5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245"/>
    <w:rsid w:val="004E47F2"/>
    <w:rsid w:val="004E4E2B"/>
    <w:rsid w:val="004E5D4F"/>
    <w:rsid w:val="004E5DEA"/>
    <w:rsid w:val="004E6639"/>
    <w:rsid w:val="004E6BAE"/>
    <w:rsid w:val="004F2E6F"/>
    <w:rsid w:val="004F32AD"/>
    <w:rsid w:val="004F57CB"/>
    <w:rsid w:val="004F64F6"/>
    <w:rsid w:val="004F69C0"/>
    <w:rsid w:val="004F7F73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E1A"/>
    <w:rsid w:val="00551CA6"/>
    <w:rsid w:val="00555034"/>
    <w:rsid w:val="005570D2"/>
    <w:rsid w:val="005611DF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E36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5E9C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F8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154"/>
    <w:rsid w:val="00717739"/>
    <w:rsid w:val="00717DE4"/>
    <w:rsid w:val="00721724"/>
    <w:rsid w:val="00722EC5"/>
    <w:rsid w:val="00723326"/>
    <w:rsid w:val="00724252"/>
    <w:rsid w:val="00726176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348"/>
    <w:rsid w:val="00755C7B"/>
    <w:rsid w:val="00764786"/>
    <w:rsid w:val="00766E12"/>
    <w:rsid w:val="0077098E"/>
    <w:rsid w:val="00771287"/>
    <w:rsid w:val="0077149E"/>
    <w:rsid w:val="00777314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4D1B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AFC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50D"/>
    <w:rsid w:val="008C0809"/>
    <w:rsid w:val="008C132C"/>
    <w:rsid w:val="008C3FD0"/>
    <w:rsid w:val="008D27A5"/>
    <w:rsid w:val="008D2AAB"/>
    <w:rsid w:val="008D309C"/>
    <w:rsid w:val="008D58F9"/>
    <w:rsid w:val="008E3338"/>
    <w:rsid w:val="008E36EF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5FFD"/>
    <w:rsid w:val="00946044"/>
    <w:rsid w:val="009465AB"/>
    <w:rsid w:val="00946DEE"/>
    <w:rsid w:val="00953499"/>
    <w:rsid w:val="00954A16"/>
    <w:rsid w:val="0095696D"/>
    <w:rsid w:val="00964695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ED2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389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4C1"/>
    <w:rsid w:val="00A572B1"/>
    <w:rsid w:val="00A577AF"/>
    <w:rsid w:val="00A60177"/>
    <w:rsid w:val="00A61889"/>
    <w:rsid w:val="00A61C27"/>
    <w:rsid w:val="00A6344D"/>
    <w:rsid w:val="00A644B8"/>
    <w:rsid w:val="00A7047D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F38"/>
    <w:rsid w:val="00AA7E52"/>
    <w:rsid w:val="00AB1655"/>
    <w:rsid w:val="00AB1873"/>
    <w:rsid w:val="00AB2B8A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944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39D6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33D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074F"/>
    <w:rsid w:val="00C013F4"/>
    <w:rsid w:val="00C040AB"/>
    <w:rsid w:val="00C0499B"/>
    <w:rsid w:val="00C05406"/>
    <w:rsid w:val="00C05CF0"/>
    <w:rsid w:val="00C119AC"/>
    <w:rsid w:val="00C127F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359C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075"/>
    <w:rsid w:val="00C72956"/>
    <w:rsid w:val="00C73045"/>
    <w:rsid w:val="00C73212"/>
    <w:rsid w:val="00C7354A"/>
    <w:rsid w:val="00C74379"/>
    <w:rsid w:val="00C74533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849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4DA0"/>
    <w:rsid w:val="00CB74CB"/>
    <w:rsid w:val="00CB7E04"/>
    <w:rsid w:val="00CC24B7"/>
    <w:rsid w:val="00CC4CE8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6D67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45C9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764"/>
    <w:rsid w:val="00E51446"/>
    <w:rsid w:val="00E529C8"/>
    <w:rsid w:val="00E55DA0"/>
    <w:rsid w:val="00E56033"/>
    <w:rsid w:val="00E61159"/>
    <w:rsid w:val="00E625DA"/>
    <w:rsid w:val="00E634DC"/>
    <w:rsid w:val="00E654A2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B98"/>
    <w:rsid w:val="00EC2935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5F73"/>
    <w:rsid w:val="00EE664B"/>
    <w:rsid w:val="00EF10BA"/>
    <w:rsid w:val="00EF138E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5C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97B"/>
    <w:rsid w:val="00FB73AE"/>
    <w:rsid w:val="00FC0B32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05970F-3E3E-4ABF-9EE2-86A547BE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968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68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68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6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6849"/>
    <w:rPr>
      <w:b/>
      <w:bCs/>
    </w:rPr>
  </w:style>
  <w:style w:type="paragraph" w:styleId="ListParagraph">
    <w:name w:val="List Paragraph"/>
    <w:basedOn w:val="Normal"/>
    <w:uiPriority w:val="34"/>
    <w:qFormat/>
    <w:rsid w:val="005D0E36"/>
    <w:pPr>
      <w:ind w:left="720"/>
      <w:contextualSpacing/>
    </w:pPr>
  </w:style>
  <w:style w:type="character" w:styleId="Hyperlink">
    <w:name w:val="Hyperlink"/>
    <w:basedOn w:val="DefaultParagraphFont"/>
    <w:unhideWhenUsed/>
    <w:rsid w:val="00453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1346</Words>
  <Characters>7841</Characters>
  <Application>Microsoft Office Word</Application>
  <DocSecurity>4</DocSecurity>
  <Lines>164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SB00010 (Committee Report (Substituted))</vt:lpstr>
    </vt:vector>
  </TitlesOfParts>
  <Company>State of Texas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27932</dc:subject>
  <dc:creator>State of Texas</dc:creator>
  <dc:description>SB 10 by Bettencourt-(H)State Affairs (Substitute Document Number: 87R 22529)</dc:description>
  <cp:lastModifiedBy>Thomas Weis</cp:lastModifiedBy>
  <cp:revision>2</cp:revision>
  <cp:lastPrinted>2003-11-26T17:21:00Z</cp:lastPrinted>
  <dcterms:created xsi:type="dcterms:W3CDTF">2021-05-19T22:44:00Z</dcterms:created>
  <dcterms:modified xsi:type="dcterms:W3CDTF">2021-05-19T22:44:00Z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21.139.416</vt:lpwstr>
  </property>
</Properties>
</file>