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88154B" w14:paraId="7125FEDA" w14:textId="77777777" w:rsidTr="00345119">
        <w:tc>
          <w:tcPr>
            <w:tcW w:w="9576" w:type="dxa"/>
            <w:noWrap/>
          </w:tcPr>
          <w:p w14:paraId="1709E1BE" w14:textId="77777777" w:rsidR="008423E4" w:rsidRPr="0022177D" w:rsidRDefault="004A09B3" w:rsidP="007972CF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59AEE050" w14:textId="77777777" w:rsidR="008423E4" w:rsidRPr="0022177D" w:rsidRDefault="008423E4" w:rsidP="007972CF">
      <w:pPr>
        <w:jc w:val="center"/>
      </w:pPr>
    </w:p>
    <w:p w14:paraId="24E0454A" w14:textId="77777777" w:rsidR="008423E4" w:rsidRPr="00B31F0E" w:rsidRDefault="008423E4" w:rsidP="007972CF"/>
    <w:p w14:paraId="4ACEF4C2" w14:textId="77777777" w:rsidR="008423E4" w:rsidRPr="00742794" w:rsidRDefault="008423E4" w:rsidP="007972CF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88154B" w14:paraId="4713ED0B" w14:textId="77777777" w:rsidTr="00345119">
        <w:tc>
          <w:tcPr>
            <w:tcW w:w="9576" w:type="dxa"/>
          </w:tcPr>
          <w:p w14:paraId="00909E42" w14:textId="3272C2C7" w:rsidR="008423E4" w:rsidRPr="00861995" w:rsidRDefault="004A09B3" w:rsidP="007972CF">
            <w:pPr>
              <w:jc w:val="right"/>
            </w:pPr>
            <w:r>
              <w:t>C.S.S.B. 19</w:t>
            </w:r>
          </w:p>
        </w:tc>
      </w:tr>
      <w:tr w:rsidR="0088154B" w14:paraId="6DF4A65C" w14:textId="77777777" w:rsidTr="00345119">
        <w:tc>
          <w:tcPr>
            <w:tcW w:w="9576" w:type="dxa"/>
          </w:tcPr>
          <w:p w14:paraId="62799922" w14:textId="4A6427E6" w:rsidR="008423E4" w:rsidRPr="00861995" w:rsidRDefault="004A09B3" w:rsidP="000F60B3">
            <w:pPr>
              <w:jc w:val="right"/>
            </w:pPr>
            <w:r>
              <w:t xml:space="preserve">By: </w:t>
            </w:r>
            <w:r w:rsidR="000F60B3">
              <w:t>Schwertner</w:t>
            </w:r>
          </w:p>
        </w:tc>
      </w:tr>
      <w:tr w:rsidR="0088154B" w14:paraId="379CF203" w14:textId="77777777" w:rsidTr="00345119">
        <w:tc>
          <w:tcPr>
            <w:tcW w:w="9576" w:type="dxa"/>
          </w:tcPr>
          <w:p w14:paraId="5D9EFEAC" w14:textId="5D4DEF11" w:rsidR="008423E4" w:rsidRPr="00861995" w:rsidRDefault="004A09B3" w:rsidP="007972CF">
            <w:pPr>
              <w:jc w:val="right"/>
            </w:pPr>
            <w:r>
              <w:t>State Affairs</w:t>
            </w:r>
          </w:p>
        </w:tc>
      </w:tr>
      <w:tr w:rsidR="0088154B" w14:paraId="7FE631FB" w14:textId="77777777" w:rsidTr="00345119">
        <w:tc>
          <w:tcPr>
            <w:tcW w:w="9576" w:type="dxa"/>
          </w:tcPr>
          <w:p w14:paraId="1AFD3BA7" w14:textId="03CDE657" w:rsidR="008423E4" w:rsidRDefault="004A09B3" w:rsidP="007972CF">
            <w:pPr>
              <w:jc w:val="right"/>
            </w:pPr>
            <w:r>
              <w:t>Committee Report (Substituted)</w:t>
            </w:r>
          </w:p>
        </w:tc>
      </w:tr>
    </w:tbl>
    <w:p w14:paraId="3D1872DA" w14:textId="77777777" w:rsidR="008423E4" w:rsidRDefault="008423E4" w:rsidP="007972CF">
      <w:pPr>
        <w:tabs>
          <w:tab w:val="right" w:pos="9360"/>
        </w:tabs>
      </w:pPr>
    </w:p>
    <w:p w14:paraId="6DFAFB05" w14:textId="77777777" w:rsidR="008423E4" w:rsidRDefault="008423E4" w:rsidP="007972CF"/>
    <w:p w14:paraId="507CE940" w14:textId="77777777" w:rsidR="008423E4" w:rsidRDefault="008423E4" w:rsidP="007972CF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88154B" w14:paraId="21727794" w14:textId="77777777" w:rsidTr="007C25A5">
        <w:tc>
          <w:tcPr>
            <w:tcW w:w="9360" w:type="dxa"/>
          </w:tcPr>
          <w:p w14:paraId="630D0E98" w14:textId="77777777" w:rsidR="008423E4" w:rsidRPr="00A8133F" w:rsidRDefault="004A09B3" w:rsidP="007972CF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06F5CEF7" w14:textId="77777777" w:rsidR="008423E4" w:rsidRDefault="008423E4" w:rsidP="007972CF"/>
          <w:p w14:paraId="4D39B98F" w14:textId="1224523C" w:rsidR="00635949" w:rsidRDefault="004A09B3" w:rsidP="007972C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635949">
              <w:t xml:space="preserve">From 2013 to 2017, Operation Choke Point was a program operated by the </w:t>
            </w:r>
            <w:r w:rsidR="00183012">
              <w:t xml:space="preserve">U.S. </w:t>
            </w:r>
            <w:r w:rsidRPr="00635949">
              <w:t xml:space="preserve">Department of Justice (DOJ) and </w:t>
            </w:r>
            <w:r w:rsidR="00183012">
              <w:t xml:space="preserve">the </w:t>
            </w:r>
            <w:r w:rsidRPr="00635949">
              <w:t xml:space="preserve">Federal Deposit Insurance Corporation (FDIC). Under </w:t>
            </w:r>
            <w:r w:rsidR="00183012">
              <w:t>the</w:t>
            </w:r>
            <w:r w:rsidR="00183012" w:rsidRPr="00635949">
              <w:t xml:space="preserve"> </w:t>
            </w:r>
            <w:r w:rsidRPr="00635949">
              <w:t xml:space="preserve">program, </w:t>
            </w:r>
            <w:r w:rsidR="00E83C9B">
              <w:t xml:space="preserve">the </w:t>
            </w:r>
            <w:r w:rsidRPr="00635949">
              <w:t xml:space="preserve">DOJ issued unofficial directives to banks to restrict access to essential banking services for merchants </w:t>
            </w:r>
            <w:r w:rsidR="008A7B11">
              <w:t>in</w:t>
            </w:r>
            <w:r w:rsidRPr="00635949">
              <w:t xml:space="preserve"> certain industries, including members of the firearms and ammunition industries</w:t>
            </w:r>
            <w:r w:rsidRPr="00635949">
              <w:t>.</w:t>
            </w:r>
            <w:r w:rsidR="00183012">
              <w:t xml:space="preserve"> </w:t>
            </w:r>
            <w:r w:rsidR="00E83C9B">
              <w:t>Although t</w:t>
            </w:r>
            <w:r w:rsidRPr="00635949">
              <w:t>he program was officially ended in 2017</w:t>
            </w:r>
            <w:r w:rsidR="008E120F">
              <w:t>,</w:t>
            </w:r>
            <w:r w:rsidRPr="00635949">
              <w:t xml:space="preserve"> bank executives and financial institution leaders have </w:t>
            </w:r>
            <w:r w:rsidR="008A7B11">
              <w:t xml:space="preserve">reportedly </w:t>
            </w:r>
            <w:r w:rsidRPr="00635949">
              <w:t>continued the program's discriminatory banking practices.</w:t>
            </w:r>
            <w:r w:rsidR="008E120F">
              <w:t xml:space="preserve"> </w:t>
            </w:r>
            <w:r w:rsidR="006E524F">
              <w:t>C.S.S.B. 19</w:t>
            </w:r>
            <w:r w:rsidRPr="00635949">
              <w:t xml:space="preserve"> </w:t>
            </w:r>
            <w:r w:rsidR="008E120F">
              <w:t xml:space="preserve">seeks to </w:t>
            </w:r>
            <w:r w:rsidR="00EC64FD">
              <w:t>ensure</w:t>
            </w:r>
            <w:r w:rsidR="00E83C9B">
              <w:t xml:space="preserve"> that companies</w:t>
            </w:r>
            <w:r w:rsidR="008E120F" w:rsidRPr="008E120F">
              <w:t xml:space="preserve"> </w:t>
            </w:r>
            <w:r w:rsidR="00EC64FD">
              <w:t>contracting with a state agency or political subdivision</w:t>
            </w:r>
            <w:r w:rsidR="008E120F" w:rsidRPr="008E120F">
              <w:t xml:space="preserve"> </w:t>
            </w:r>
            <w:r w:rsidR="00E83C9B">
              <w:t>do</w:t>
            </w:r>
            <w:r w:rsidRPr="00635949">
              <w:t xml:space="preserve"> not have an internal</w:t>
            </w:r>
            <w:r w:rsidR="00E83C9B">
              <w:t xml:space="preserve"> practice,</w:t>
            </w:r>
            <w:r w:rsidRPr="00635949">
              <w:t xml:space="preserve"> policy, guidance, or directive that discriminates against </w:t>
            </w:r>
            <w:r w:rsidR="007B60BF">
              <w:t xml:space="preserve">a </w:t>
            </w:r>
            <w:r w:rsidRPr="00635949">
              <w:t>firearm</w:t>
            </w:r>
            <w:r w:rsidR="007B60BF">
              <w:t xml:space="preserve"> entity or firearm trade association.</w:t>
            </w:r>
          </w:p>
          <w:p w14:paraId="7DD64DC5" w14:textId="77777777" w:rsidR="008423E4" w:rsidRPr="00E26B13" w:rsidRDefault="008423E4" w:rsidP="007972CF">
            <w:pPr>
              <w:rPr>
                <w:b/>
              </w:rPr>
            </w:pPr>
          </w:p>
        </w:tc>
      </w:tr>
      <w:tr w:rsidR="0088154B" w14:paraId="78A1BDBB" w14:textId="77777777" w:rsidTr="007C25A5">
        <w:tc>
          <w:tcPr>
            <w:tcW w:w="9360" w:type="dxa"/>
          </w:tcPr>
          <w:p w14:paraId="3F6229BB" w14:textId="77777777" w:rsidR="0017725B" w:rsidRDefault="004A09B3" w:rsidP="007972C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33E7B0EB" w14:textId="77777777" w:rsidR="0017725B" w:rsidRDefault="0017725B" w:rsidP="007972CF">
            <w:pPr>
              <w:rPr>
                <w:b/>
                <w:u w:val="single"/>
              </w:rPr>
            </w:pPr>
          </w:p>
          <w:p w14:paraId="5A7AF3DF" w14:textId="77777777" w:rsidR="00F478C6" w:rsidRPr="00F478C6" w:rsidRDefault="004A09B3" w:rsidP="007972CF">
            <w:pPr>
              <w:jc w:val="both"/>
            </w:pPr>
            <w:r>
              <w:t xml:space="preserve">It is the committee's opinion that this bill does not expressly </w:t>
            </w:r>
            <w:r>
              <w:t>create a criminal offense, increase the punishment for an existing criminal offense or category of offenses, or change the eligibility of a person for community supervision, parole, or mandatory supervision.</w:t>
            </w:r>
          </w:p>
          <w:p w14:paraId="39EA9D4F" w14:textId="77777777" w:rsidR="0017725B" w:rsidRPr="0017725B" w:rsidRDefault="0017725B" w:rsidP="007972CF">
            <w:pPr>
              <w:rPr>
                <w:b/>
                <w:u w:val="single"/>
              </w:rPr>
            </w:pPr>
          </w:p>
        </w:tc>
      </w:tr>
      <w:tr w:rsidR="0088154B" w14:paraId="405FBED2" w14:textId="77777777" w:rsidTr="007C25A5">
        <w:tc>
          <w:tcPr>
            <w:tcW w:w="9360" w:type="dxa"/>
          </w:tcPr>
          <w:p w14:paraId="6FF8AD8F" w14:textId="77777777" w:rsidR="008423E4" w:rsidRPr="00A8133F" w:rsidRDefault="004A09B3" w:rsidP="007972CF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32274641" w14:textId="77777777" w:rsidR="008423E4" w:rsidRDefault="008423E4" w:rsidP="007972CF"/>
          <w:p w14:paraId="27BEF678" w14:textId="77777777" w:rsidR="00F478C6" w:rsidRDefault="004A09B3" w:rsidP="007972C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</w:t>
            </w:r>
            <w:r>
              <w:t>pinion that this bill does not expressly grant any additional rulemaking authority to a state officer, department, agency, or institution.</w:t>
            </w:r>
          </w:p>
          <w:p w14:paraId="64021EAD" w14:textId="77777777" w:rsidR="008423E4" w:rsidRPr="00E21FDC" w:rsidRDefault="008423E4" w:rsidP="007972CF">
            <w:pPr>
              <w:rPr>
                <w:b/>
              </w:rPr>
            </w:pPr>
          </w:p>
        </w:tc>
      </w:tr>
      <w:tr w:rsidR="0088154B" w14:paraId="390B534D" w14:textId="77777777" w:rsidTr="007C25A5">
        <w:tc>
          <w:tcPr>
            <w:tcW w:w="9360" w:type="dxa"/>
          </w:tcPr>
          <w:p w14:paraId="34284E50" w14:textId="77777777" w:rsidR="008423E4" w:rsidRPr="00A8133F" w:rsidRDefault="004A09B3" w:rsidP="007972CF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09512C9B" w14:textId="77777777" w:rsidR="008423E4" w:rsidRDefault="008423E4" w:rsidP="007972CF"/>
          <w:p w14:paraId="763238C6" w14:textId="48F5C981" w:rsidR="003611BA" w:rsidRDefault="004A09B3" w:rsidP="007972C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C.S.S.B. 19</w:t>
            </w:r>
            <w:r w:rsidR="001D4617">
              <w:t xml:space="preserve"> amends the </w:t>
            </w:r>
            <w:r w:rsidR="001D4617" w:rsidRPr="001D4617">
              <w:t>Government Code</w:t>
            </w:r>
            <w:r w:rsidR="001D4617">
              <w:t xml:space="preserve"> to </w:t>
            </w:r>
            <w:r w:rsidR="00BC50C4">
              <w:t xml:space="preserve">prohibit a </w:t>
            </w:r>
            <w:r w:rsidR="00F37694">
              <w:t>state agency or political subdivision</w:t>
            </w:r>
            <w:r w:rsidR="00BC50C4">
              <w:t xml:space="preserve"> from entering </w:t>
            </w:r>
            <w:r w:rsidR="00BC50C4" w:rsidRPr="00BC50C4">
              <w:t>into a contract</w:t>
            </w:r>
            <w:r>
              <w:t xml:space="preserve"> paid partly or wholly from public funds</w:t>
            </w:r>
            <w:r w:rsidR="00BC50C4" w:rsidRPr="00BC50C4">
              <w:t xml:space="preserve"> with a company for the purchase of goods or services unless the contract contains a written verification from the company that</w:t>
            </w:r>
            <w:r>
              <w:t>:</w:t>
            </w:r>
          </w:p>
          <w:p w14:paraId="05DDA441" w14:textId="4ABA8FB6" w:rsidR="003611BA" w:rsidRDefault="004A09B3" w:rsidP="007972CF">
            <w:pPr>
              <w:pStyle w:val="Header"/>
              <w:numPr>
                <w:ilvl w:val="0"/>
                <w:numId w:val="8"/>
              </w:numPr>
              <w:tabs>
                <w:tab w:val="clear" w:pos="4320"/>
                <w:tab w:val="clear" w:pos="8640"/>
              </w:tabs>
              <w:jc w:val="both"/>
            </w:pPr>
            <w:r w:rsidRPr="00BC50C4">
              <w:t>it</w:t>
            </w:r>
            <w:r>
              <w:t xml:space="preserve"> </w:t>
            </w:r>
            <w:r w:rsidR="00F37694">
              <w:t xml:space="preserve">does </w:t>
            </w:r>
            <w:r w:rsidRPr="00BC50C4">
              <w:t xml:space="preserve">not have </w:t>
            </w:r>
            <w:r w:rsidR="003D7C8C">
              <w:t>a</w:t>
            </w:r>
            <w:r w:rsidRPr="00BC50C4">
              <w:t xml:space="preserve"> practice, policy, guidance, or directi</w:t>
            </w:r>
            <w:r w:rsidRPr="00BC50C4">
              <w:t xml:space="preserve">ve that discriminates against a firearm entity or firearm trade association based solely on </w:t>
            </w:r>
            <w:r>
              <w:t>t</w:t>
            </w:r>
            <w:r w:rsidR="00F478C6">
              <w:t>he entity</w:t>
            </w:r>
            <w:r w:rsidR="00B51073">
              <w:t>'s</w:t>
            </w:r>
            <w:r w:rsidR="00F478C6">
              <w:t xml:space="preserve"> or association's</w:t>
            </w:r>
            <w:r>
              <w:t xml:space="preserve"> status</w:t>
            </w:r>
            <w:r w:rsidR="00AE2002">
              <w:t xml:space="preserve"> as such</w:t>
            </w:r>
            <w:r>
              <w:t>; and</w:t>
            </w:r>
          </w:p>
          <w:p w14:paraId="3C8CA0F1" w14:textId="062CBB4C" w:rsidR="003611BA" w:rsidRDefault="004A09B3" w:rsidP="007972CF">
            <w:pPr>
              <w:pStyle w:val="Header"/>
              <w:numPr>
                <w:ilvl w:val="0"/>
                <w:numId w:val="8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it will not </w:t>
            </w:r>
            <w:r w:rsidR="00F37694">
              <w:t xml:space="preserve">engage in any such </w:t>
            </w:r>
            <w:r>
              <w:t>discriminat</w:t>
            </w:r>
            <w:r w:rsidR="00F37694">
              <w:t>ion</w:t>
            </w:r>
            <w:r>
              <w:t xml:space="preserve"> </w:t>
            </w:r>
            <w:r w:rsidRPr="00BC50C4">
              <w:t xml:space="preserve">during the </w:t>
            </w:r>
            <w:r w:rsidR="00F37694">
              <w:t xml:space="preserve">contract </w:t>
            </w:r>
            <w:r w:rsidRPr="00BC50C4">
              <w:t>term</w:t>
            </w:r>
            <w:r>
              <w:t xml:space="preserve">. </w:t>
            </w:r>
          </w:p>
          <w:p w14:paraId="5A49A8F1" w14:textId="1198DC66" w:rsidR="00EA237B" w:rsidRDefault="004A09B3" w:rsidP="007972C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Th</w:t>
            </w:r>
            <w:r w:rsidR="00F37694">
              <w:t>at</w:t>
            </w:r>
            <w:r>
              <w:t xml:space="preserve"> prohibition applies only to </w:t>
            </w:r>
            <w:r w:rsidRPr="00BC50C4">
              <w:t xml:space="preserve">a contract between a </w:t>
            </w:r>
            <w:r w:rsidR="003F6C21">
              <w:t>state agency or political subdivision</w:t>
            </w:r>
            <w:r w:rsidRPr="00BC50C4">
              <w:t xml:space="preserve"> and a company with at least 10 full-time employees that has a value of at least $100,000</w:t>
            </w:r>
            <w:r w:rsidR="008552A9">
              <w:t xml:space="preserve">. </w:t>
            </w:r>
          </w:p>
          <w:p w14:paraId="4236366A" w14:textId="77777777" w:rsidR="00EA237B" w:rsidRDefault="00EA237B" w:rsidP="007972C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39D13CDD" w14:textId="705161EC" w:rsidR="00C13E41" w:rsidRDefault="004A09B3" w:rsidP="007972C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C.S.S.B. 19</w:t>
            </w:r>
            <w:r w:rsidR="006E524F">
              <w:t xml:space="preserve"> exempts </w:t>
            </w:r>
            <w:r w:rsidR="00EE4206">
              <w:t>from th</w:t>
            </w:r>
            <w:r>
              <w:t>at</w:t>
            </w:r>
            <w:r w:rsidR="00EE4206">
              <w:t xml:space="preserve"> prohibition </w:t>
            </w:r>
            <w:r w:rsidR="006E524F">
              <w:t xml:space="preserve">a </w:t>
            </w:r>
            <w:r w:rsidR="006E524F" w:rsidRPr="006E524F">
              <w:t xml:space="preserve">contract entered into in connection with or relating to the issuance, sale, or delivery of </w:t>
            </w:r>
            <w:r w:rsidR="006E524F">
              <w:t xml:space="preserve">tax and revenue anticipation </w:t>
            </w:r>
            <w:r w:rsidR="006E524F" w:rsidRPr="006E524F">
              <w:t>notes</w:t>
            </w:r>
            <w:r>
              <w:t xml:space="preserve"> or the administration of matters related to the notes</w:t>
            </w:r>
            <w:r w:rsidR="006E524F" w:rsidRPr="006E524F">
              <w:t xml:space="preserve"> </w:t>
            </w:r>
            <w:r w:rsidR="00EE4206">
              <w:t>if the comptroller of public accounts</w:t>
            </w:r>
            <w:r>
              <w:t xml:space="preserve"> determines in the comptroller's sole discretion</w:t>
            </w:r>
            <w:r w:rsidR="00EE4206">
              <w:t xml:space="preserve"> that compliance with the prohibition is </w:t>
            </w:r>
            <w:r w:rsidR="00EE4206" w:rsidRPr="00EE4206">
              <w:t>likely to prevent an issuance, sale, or delivery that is sufficient to address the general revenue cash flow shortfall forecas</w:t>
            </w:r>
            <w:r w:rsidR="00EE4206">
              <w:t xml:space="preserve">t or </w:t>
            </w:r>
            <w:r w:rsidR="001B31BA" w:rsidRPr="001B31BA">
              <w:t>the administration of matters related to the notes</w:t>
            </w:r>
            <w:r w:rsidR="001B31BA">
              <w:t xml:space="preserve">. The bill requires the comptroller, before making </w:t>
            </w:r>
            <w:r>
              <w:t>such a</w:t>
            </w:r>
            <w:r w:rsidR="001B31BA">
              <w:t xml:space="preserve"> determination, to</w:t>
            </w:r>
            <w:r>
              <w:t xml:space="preserve"> do the fol</w:t>
            </w:r>
            <w:r>
              <w:t>lowing:</w:t>
            </w:r>
          </w:p>
          <w:p w14:paraId="4FCF1398" w14:textId="7D268BDF" w:rsidR="00C13E41" w:rsidRDefault="004A09B3" w:rsidP="007972CF">
            <w:pPr>
              <w:pStyle w:val="Header"/>
              <w:numPr>
                <w:ilvl w:val="0"/>
                <w:numId w:val="9"/>
              </w:numPr>
              <w:tabs>
                <w:tab w:val="clear" w:pos="4320"/>
                <w:tab w:val="clear" w:pos="8640"/>
              </w:tabs>
              <w:jc w:val="both"/>
            </w:pPr>
            <w:r w:rsidRPr="001B31BA">
              <w:t>survey potential respondents or bidders to a solicitation for</w:t>
            </w:r>
            <w:r>
              <w:t xml:space="preserve"> such a contract </w:t>
            </w:r>
            <w:r w:rsidRPr="001B31BA">
              <w:t>to determine the number of qualified potential respondents or bidders that are able to provide t</w:t>
            </w:r>
            <w:r>
              <w:t>he written verification</w:t>
            </w:r>
            <w:r w:rsidR="0053014E">
              <w:t xml:space="preserve"> regarding the discrimination against a firearm entity or firearm trade association</w:t>
            </w:r>
            <w:r>
              <w:t xml:space="preserve">; and </w:t>
            </w:r>
          </w:p>
          <w:p w14:paraId="40341CB2" w14:textId="2D8E869D" w:rsidR="00EA237B" w:rsidRDefault="004A09B3" w:rsidP="007972CF">
            <w:pPr>
              <w:pStyle w:val="Header"/>
              <w:numPr>
                <w:ilvl w:val="0"/>
                <w:numId w:val="9"/>
              </w:numPr>
              <w:tabs>
                <w:tab w:val="clear" w:pos="4320"/>
                <w:tab w:val="clear" w:pos="8640"/>
              </w:tabs>
              <w:jc w:val="both"/>
            </w:pPr>
            <w:r w:rsidRPr="001B31BA">
              <w:t>evaluate the historical bidding performance of qualified potential bidders.</w:t>
            </w:r>
            <w:r>
              <w:t xml:space="preserve"> </w:t>
            </w:r>
          </w:p>
          <w:p w14:paraId="18A1839D" w14:textId="77777777" w:rsidR="00EA237B" w:rsidRDefault="00EA237B" w:rsidP="007972C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0A28EC1C" w14:textId="0B451BF1" w:rsidR="00BC50C4" w:rsidRDefault="004A09B3" w:rsidP="007972C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C.S.S.B. 19</w:t>
            </w:r>
            <w:r w:rsidR="00F37694">
              <w:t xml:space="preserve"> defines, among other terms, "discriminate against a firearm entity or firearm trade association" as any of the following actions</w:t>
            </w:r>
            <w:r w:rsidR="006E7D1E">
              <w:t xml:space="preserve"> with respect to the entity or association</w:t>
            </w:r>
            <w:r w:rsidR="00F37694">
              <w:t>:</w:t>
            </w:r>
          </w:p>
          <w:p w14:paraId="57FD25BE" w14:textId="08D0BECF" w:rsidR="00F37694" w:rsidRDefault="004A09B3" w:rsidP="007972CF">
            <w:pPr>
              <w:pStyle w:val="Header"/>
              <w:numPr>
                <w:ilvl w:val="0"/>
                <w:numId w:val="1"/>
              </w:numPr>
              <w:jc w:val="both"/>
            </w:pPr>
            <w:r>
              <w:t>refusing to engage in the trade of any goods or services;</w:t>
            </w:r>
          </w:p>
          <w:p w14:paraId="323032C9" w14:textId="009D0782" w:rsidR="00F37694" w:rsidRDefault="004A09B3" w:rsidP="007972CF">
            <w:pPr>
              <w:pStyle w:val="Header"/>
              <w:numPr>
                <w:ilvl w:val="0"/>
                <w:numId w:val="1"/>
              </w:numPr>
              <w:jc w:val="both"/>
            </w:pPr>
            <w:r>
              <w:t>refraining from continuing an existing business relationship;</w:t>
            </w:r>
          </w:p>
          <w:p w14:paraId="20EE968D" w14:textId="0424A2FC" w:rsidR="00F37694" w:rsidRDefault="004A09B3" w:rsidP="007972CF">
            <w:pPr>
              <w:pStyle w:val="Header"/>
              <w:numPr>
                <w:ilvl w:val="0"/>
                <w:numId w:val="1"/>
              </w:numPr>
              <w:jc w:val="both"/>
            </w:pPr>
            <w:r>
              <w:t>terminating an existing business relationship; or</w:t>
            </w:r>
          </w:p>
          <w:p w14:paraId="7ECE236E" w14:textId="7362D91A" w:rsidR="00F37694" w:rsidRDefault="004A09B3" w:rsidP="007972CF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otherwise expressing a prejudice against </w:t>
            </w:r>
            <w:r>
              <w:t>the entity or association.</w:t>
            </w:r>
          </w:p>
          <w:p w14:paraId="322FA6CB" w14:textId="11142D8C" w:rsidR="00EA237B" w:rsidRPr="009C36CD" w:rsidRDefault="004A09B3" w:rsidP="007972C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The term does not include</w:t>
            </w:r>
            <w:r w:rsidRPr="00EA237B">
              <w:t xml:space="preserve"> the established policies of a merchant, retail seller, or platform that restrict or prohibit the listing or selling of ammunition, firearms, or firearm accessories</w:t>
            </w:r>
            <w:r>
              <w:t>.</w:t>
            </w:r>
          </w:p>
          <w:p w14:paraId="5EF6B1AE" w14:textId="77777777" w:rsidR="008423E4" w:rsidRPr="00835628" w:rsidRDefault="008423E4" w:rsidP="007972CF">
            <w:pPr>
              <w:rPr>
                <w:b/>
              </w:rPr>
            </w:pPr>
          </w:p>
        </w:tc>
      </w:tr>
      <w:tr w:rsidR="0088154B" w14:paraId="7F48CACE" w14:textId="77777777" w:rsidTr="007C25A5">
        <w:tc>
          <w:tcPr>
            <w:tcW w:w="9360" w:type="dxa"/>
          </w:tcPr>
          <w:p w14:paraId="02878AD1" w14:textId="77777777" w:rsidR="008423E4" w:rsidRPr="00A8133F" w:rsidRDefault="004A09B3" w:rsidP="007972CF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24E51F3C" w14:textId="77777777" w:rsidR="008423E4" w:rsidRDefault="008423E4" w:rsidP="007972CF"/>
          <w:p w14:paraId="0582BD0A" w14:textId="77777777" w:rsidR="008423E4" w:rsidRDefault="004A09B3" w:rsidP="007972C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70B588AA" w14:textId="51C8200F" w:rsidR="008B0885" w:rsidRPr="00AA4D66" w:rsidRDefault="008B0885" w:rsidP="007972C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88154B" w14:paraId="42AA1E95" w14:textId="77777777" w:rsidTr="007C25A5">
        <w:tc>
          <w:tcPr>
            <w:tcW w:w="9360" w:type="dxa"/>
          </w:tcPr>
          <w:p w14:paraId="4A80FB96" w14:textId="77777777" w:rsidR="000F60B3" w:rsidRDefault="004A09B3" w:rsidP="000F60B3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SENATE ENGROSSED AND SUBSTITUTE</w:t>
            </w:r>
          </w:p>
          <w:p w14:paraId="68746E48" w14:textId="77777777" w:rsidR="001B31BA" w:rsidRDefault="001B31BA" w:rsidP="000F60B3">
            <w:pPr>
              <w:jc w:val="both"/>
              <w:rPr>
                <w:b/>
                <w:u w:val="single"/>
              </w:rPr>
            </w:pPr>
          </w:p>
          <w:p w14:paraId="046200C3" w14:textId="77777777" w:rsidR="003760DA" w:rsidRDefault="004A09B3" w:rsidP="003760DA">
            <w:pPr>
              <w:jc w:val="both"/>
            </w:pPr>
            <w:r>
              <w:t>While C.S.S.B. 19 may differ from the engrossed in minor or nonsubstantive ways, the following summarizes the substantial differences between the engrossed and committee substitute versions of the bill.</w:t>
            </w:r>
          </w:p>
          <w:p w14:paraId="3EC3F130" w14:textId="77777777" w:rsidR="003760DA" w:rsidRDefault="003760DA" w:rsidP="003760DA">
            <w:pPr>
              <w:jc w:val="both"/>
            </w:pPr>
          </w:p>
          <w:p w14:paraId="7E0888B0" w14:textId="2498F168" w:rsidR="003760DA" w:rsidRDefault="004A09B3" w:rsidP="003760DA">
            <w:pPr>
              <w:jc w:val="both"/>
            </w:pPr>
            <w:r>
              <w:t xml:space="preserve">The substitute revises the  definition of "discriminate against a firearm entity or firearm trade association" </w:t>
            </w:r>
            <w:r w:rsidR="0047401F">
              <w:t xml:space="preserve">in the engrossed </w:t>
            </w:r>
            <w:r>
              <w:t xml:space="preserve">by excluding from the term </w:t>
            </w:r>
            <w:r w:rsidRPr="00D1382D">
              <w:t>the established policies of a merchant, retail seller, or platform that restrict or prohibit the list</w:t>
            </w:r>
            <w:r w:rsidRPr="00D1382D">
              <w:t>ing or selling of ammunition, firearms, or firearm accessories</w:t>
            </w:r>
            <w:r>
              <w:t>.</w:t>
            </w:r>
          </w:p>
          <w:p w14:paraId="5144AADE" w14:textId="7D77A887" w:rsidR="0047401F" w:rsidRDefault="0047401F" w:rsidP="003760DA">
            <w:pPr>
              <w:jc w:val="both"/>
            </w:pPr>
          </w:p>
          <w:p w14:paraId="72894FAE" w14:textId="00FF7550" w:rsidR="0047401F" w:rsidRDefault="004A09B3" w:rsidP="003760DA">
            <w:pPr>
              <w:jc w:val="both"/>
            </w:pPr>
            <w:r>
              <w:t>The substitute expands a reference to an organization exempt from federal income taxation and described by Section 501(c)(6) of the federal Internal Revenue Code of 1986, as in the engrossed,</w:t>
            </w:r>
            <w:r>
              <w:t xml:space="preserve"> to refer instead to such an organization described by Section 501(c) of that code for purposes of the definition of "firearm trade association."</w:t>
            </w:r>
          </w:p>
          <w:p w14:paraId="2870C85E" w14:textId="77777777" w:rsidR="003760DA" w:rsidRDefault="004A09B3" w:rsidP="003760DA">
            <w:pPr>
              <w:jc w:val="both"/>
            </w:pPr>
            <w:r>
              <w:t xml:space="preserve"> </w:t>
            </w:r>
          </w:p>
          <w:p w14:paraId="09C37E84" w14:textId="77777777" w:rsidR="003760DA" w:rsidRDefault="004A09B3" w:rsidP="003760DA">
            <w:pPr>
              <w:jc w:val="both"/>
            </w:pPr>
            <w:r>
              <w:t>The substitute does not include a specification that appeared in the engrossed that the discriminatory pract</w:t>
            </w:r>
            <w:r>
              <w:t xml:space="preserve">ice, policy, guidance, or directive that would trigger the bill's prohibition is a written or unwritten internal practice, policy, guidance, or directive. </w:t>
            </w:r>
          </w:p>
          <w:p w14:paraId="2BD9428E" w14:textId="77777777" w:rsidR="003760DA" w:rsidRDefault="003760DA" w:rsidP="003760DA">
            <w:pPr>
              <w:jc w:val="both"/>
            </w:pPr>
          </w:p>
          <w:p w14:paraId="4A87468B" w14:textId="48DB08B1" w:rsidR="003760DA" w:rsidRPr="000F60B3" w:rsidRDefault="004A09B3" w:rsidP="003760DA">
            <w:pPr>
              <w:jc w:val="both"/>
              <w:rPr>
                <w:b/>
                <w:u w:val="single"/>
              </w:rPr>
            </w:pPr>
            <w:r>
              <w:t>The substitute includes provisions that were not in the engrossed exempting from the prohibition ce</w:t>
            </w:r>
            <w:r>
              <w:t xml:space="preserve">rtain </w:t>
            </w:r>
            <w:r w:rsidRPr="006C6E4F">
              <w:t>contract</w:t>
            </w:r>
            <w:r>
              <w:t>s</w:t>
            </w:r>
            <w:r w:rsidRPr="006C6E4F">
              <w:t xml:space="preserve"> entered into in connection with or relating to tax and revenue anticipation notes </w:t>
            </w:r>
            <w:r>
              <w:t>and includes additional related provisions establishing certain requirements for the comptroller with respect to the exemption.</w:t>
            </w:r>
          </w:p>
        </w:tc>
      </w:tr>
    </w:tbl>
    <w:p w14:paraId="5E72849F" w14:textId="39076426" w:rsidR="004108C3" w:rsidRPr="008423E4" w:rsidRDefault="004108C3" w:rsidP="007972CF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83142A" w14:textId="77777777" w:rsidR="00000000" w:rsidRDefault="004A09B3">
      <w:r>
        <w:separator/>
      </w:r>
    </w:p>
  </w:endnote>
  <w:endnote w:type="continuationSeparator" w:id="0">
    <w:p w14:paraId="6C2B09C0" w14:textId="77777777" w:rsidR="00000000" w:rsidRDefault="004A0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B0A505" w14:textId="77777777" w:rsidR="004000A8" w:rsidRDefault="004000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88154B" w14:paraId="5438AF48" w14:textId="77777777" w:rsidTr="009C1E9A">
      <w:trPr>
        <w:cantSplit/>
      </w:trPr>
      <w:tc>
        <w:tcPr>
          <w:tcW w:w="0" w:type="pct"/>
        </w:tcPr>
        <w:p w14:paraId="29CEC2C6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C12FE5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FB45CB1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554F3B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67160E8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8154B" w14:paraId="38DECC4C" w14:textId="77777777" w:rsidTr="009C1E9A">
      <w:trPr>
        <w:cantSplit/>
      </w:trPr>
      <w:tc>
        <w:tcPr>
          <w:tcW w:w="0" w:type="pct"/>
        </w:tcPr>
        <w:p w14:paraId="1DA92D42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E39F71E" w14:textId="1875AD8F" w:rsidR="00EC379B" w:rsidRPr="009C1E9A" w:rsidRDefault="004A09B3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23717</w:t>
          </w:r>
        </w:p>
      </w:tc>
      <w:tc>
        <w:tcPr>
          <w:tcW w:w="2453" w:type="pct"/>
        </w:tcPr>
        <w:p w14:paraId="10CA384E" w14:textId="76E56CFA" w:rsidR="00EC379B" w:rsidRDefault="004A09B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DB0F65">
            <w:t>21.119.720</w:t>
          </w:r>
          <w:r>
            <w:fldChar w:fldCharType="end"/>
          </w:r>
        </w:p>
      </w:tc>
    </w:tr>
    <w:tr w:rsidR="0088154B" w14:paraId="44BE13FC" w14:textId="77777777" w:rsidTr="009C1E9A">
      <w:trPr>
        <w:cantSplit/>
      </w:trPr>
      <w:tc>
        <w:tcPr>
          <w:tcW w:w="0" w:type="pct"/>
        </w:tcPr>
        <w:p w14:paraId="56504FC8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62119321" w14:textId="34D33177" w:rsidR="00EC379B" w:rsidRPr="009C1E9A" w:rsidRDefault="004A09B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22359</w:t>
          </w:r>
        </w:p>
      </w:tc>
      <w:tc>
        <w:tcPr>
          <w:tcW w:w="2453" w:type="pct"/>
        </w:tcPr>
        <w:p w14:paraId="57465345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3FF568B1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8154B" w14:paraId="0BBBDDC3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4B11818A" w14:textId="75F8F730" w:rsidR="00EC379B" w:rsidRDefault="004A09B3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DB0F65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14:paraId="79A3608C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413741E7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931A2" w14:textId="77777777" w:rsidR="004000A8" w:rsidRDefault="004000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763747" w14:textId="77777777" w:rsidR="00000000" w:rsidRDefault="004A09B3">
      <w:r>
        <w:separator/>
      </w:r>
    </w:p>
  </w:footnote>
  <w:footnote w:type="continuationSeparator" w:id="0">
    <w:p w14:paraId="1C8A59A7" w14:textId="77777777" w:rsidR="00000000" w:rsidRDefault="004A09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B03725" w14:textId="77777777" w:rsidR="004000A8" w:rsidRDefault="004000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66B76" w14:textId="77777777" w:rsidR="004000A8" w:rsidRDefault="004000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B15ED7" w14:textId="77777777" w:rsidR="004000A8" w:rsidRDefault="004000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7580D"/>
    <w:multiLevelType w:val="hybridMultilevel"/>
    <w:tmpl w:val="50808F1E"/>
    <w:lvl w:ilvl="0" w:tplc="1E10B7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AEF5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6E37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7214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A4A1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26A1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32E0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A427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6E8A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643B3"/>
    <w:multiLevelType w:val="hybridMultilevel"/>
    <w:tmpl w:val="FE64F9DA"/>
    <w:lvl w:ilvl="0" w:tplc="47B2CC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E8DD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BEEF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0AEC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1002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C221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16DD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7A2A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62CD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C3E2D"/>
    <w:multiLevelType w:val="hybridMultilevel"/>
    <w:tmpl w:val="24F8B180"/>
    <w:lvl w:ilvl="0" w:tplc="ED9E80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30F8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50C2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A04E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A480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A264F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EC93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48B5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8A38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43799D"/>
    <w:multiLevelType w:val="hybridMultilevel"/>
    <w:tmpl w:val="8AD23116"/>
    <w:lvl w:ilvl="0" w:tplc="1FBA9B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42F6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7EE0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5C34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FA99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52B1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44B7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0CA2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58257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AF6AA4"/>
    <w:multiLevelType w:val="hybridMultilevel"/>
    <w:tmpl w:val="D640E3F8"/>
    <w:lvl w:ilvl="0" w:tplc="7DB4BE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5048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F2B7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3615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FACF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902F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3C57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90F0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D0B6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BF509A"/>
    <w:multiLevelType w:val="hybridMultilevel"/>
    <w:tmpl w:val="934A1612"/>
    <w:lvl w:ilvl="0" w:tplc="95C0775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DDAA82A2" w:tentative="1">
      <w:start w:val="1"/>
      <w:numFmt w:val="lowerLetter"/>
      <w:lvlText w:val="%2."/>
      <w:lvlJc w:val="left"/>
      <w:pPr>
        <w:ind w:left="1440" w:hanging="360"/>
      </w:pPr>
    </w:lvl>
    <w:lvl w:ilvl="2" w:tplc="08F4C8E8" w:tentative="1">
      <w:start w:val="1"/>
      <w:numFmt w:val="lowerRoman"/>
      <w:lvlText w:val="%3."/>
      <w:lvlJc w:val="right"/>
      <w:pPr>
        <w:ind w:left="2160" w:hanging="180"/>
      </w:pPr>
    </w:lvl>
    <w:lvl w:ilvl="3" w:tplc="ED5C7408" w:tentative="1">
      <w:start w:val="1"/>
      <w:numFmt w:val="decimal"/>
      <w:lvlText w:val="%4."/>
      <w:lvlJc w:val="left"/>
      <w:pPr>
        <w:ind w:left="2880" w:hanging="360"/>
      </w:pPr>
    </w:lvl>
    <w:lvl w:ilvl="4" w:tplc="D422DCE4" w:tentative="1">
      <w:start w:val="1"/>
      <w:numFmt w:val="lowerLetter"/>
      <w:lvlText w:val="%5."/>
      <w:lvlJc w:val="left"/>
      <w:pPr>
        <w:ind w:left="3600" w:hanging="360"/>
      </w:pPr>
    </w:lvl>
    <w:lvl w:ilvl="5" w:tplc="C2DACA62" w:tentative="1">
      <w:start w:val="1"/>
      <w:numFmt w:val="lowerRoman"/>
      <w:lvlText w:val="%6."/>
      <w:lvlJc w:val="right"/>
      <w:pPr>
        <w:ind w:left="4320" w:hanging="180"/>
      </w:pPr>
    </w:lvl>
    <w:lvl w:ilvl="6" w:tplc="A30EF014" w:tentative="1">
      <w:start w:val="1"/>
      <w:numFmt w:val="decimal"/>
      <w:lvlText w:val="%7."/>
      <w:lvlJc w:val="left"/>
      <w:pPr>
        <w:ind w:left="5040" w:hanging="360"/>
      </w:pPr>
    </w:lvl>
    <w:lvl w:ilvl="7" w:tplc="DBB2D64A" w:tentative="1">
      <w:start w:val="1"/>
      <w:numFmt w:val="lowerLetter"/>
      <w:lvlText w:val="%8."/>
      <w:lvlJc w:val="left"/>
      <w:pPr>
        <w:ind w:left="5760" w:hanging="360"/>
      </w:pPr>
    </w:lvl>
    <w:lvl w:ilvl="8" w:tplc="820C66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707F5D"/>
    <w:multiLevelType w:val="hybridMultilevel"/>
    <w:tmpl w:val="EA1010D0"/>
    <w:lvl w:ilvl="0" w:tplc="25129D0E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8804A4BE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7BC24A4C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BFC0BE44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D8107CF2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4200DB0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566AB6B6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5D60E54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525A2E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F2F4084"/>
    <w:multiLevelType w:val="hybridMultilevel"/>
    <w:tmpl w:val="8EAA9766"/>
    <w:lvl w:ilvl="0" w:tplc="CBE6D2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CC24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8BA0A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EA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82E6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9B6CD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BEE4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C6E5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278FF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2B53D4"/>
    <w:multiLevelType w:val="hybridMultilevel"/>
    <w:tmpl w:val="4F20DFC0"/>
    <w:lvl w:ilvl="0" w:tplc="14E61D8C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C8DC4058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C387B2E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C1C8B24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68141CBA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68A61552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51C0850E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CE7E55AC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E6AFC4E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7"/>
  </w:num>
  <w:num w:numId="5">
    <w:abstractNumId w:val="0"/>
  </w:num>
  <w:num w:numId="6">
    <w:abstractNumId w:val="2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617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70D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5679"/>
    <w:rsid w:val="000463F0"/>
    <w:rsid w:val="00046BDA"/>
    <w:rsid w:val="0004762E"/>
    <w:rsid w:val="000532BD"/>
    <w:rsid w:val="00055C12"/>
    <w:rsid w:val="000608B0"/>
    <w:rsid w:val="0006104C"/>
    <w:rsid w:val="0006253E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09AE"/>
    <w:rsid w:val="000A4893"/>
    <w:rsid w:val="000A54E0"/>
    <w:rsid w:val="000A5A38"/>
    <w:rsid w:val="000A72C4"/>
    <w:rsid w:val="000B1486"/>
    <w:rsid w:val="000B27E8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0FBE"/>
    <w:rsid w:val="000D155A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0B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37E08"/>
    <w:rsid w:val="00141FB6"/>
    <w:rsid w:val="00142F8E"/>
    <w:rsid w:val="00143C8B"/>
    <w:rsid w:val="00143CA9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012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1BA"/>
    <w:rsid w:val="001B3A2A"/>
    <w:rsid w:val="001B3BFA"/>
    <w:rsid w:val="001B70D4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17"/>
    <w:rsid w:val="001D462E"/>
    <w:rsid w:val="001E2CAD"/>
    <w:rsid w:val="001E34DB"/>
    <w:rsid w:val="001E37CD"/>
    <w:rsid w:val="001E4070"/>
    <w:rsid w:val="001E655E"/>
    <w:rsid w:val="001F1F28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48A5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4976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31AB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4432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2E15"/>
    <w:rsid w:val="002F3111"/>
    <w:rsid w:val="002F4AEC"/>
    <w:rsid w:val="002F795D"/>
    <w:rsid w:val="00300823"/>
    <w:rsid w:val="00300D7F"/>
    <w:rsid w:val="00301638"/>
    <w:rsid w:val="00303B0C"/>
    <w:rsid w:val="0030459C"/>
    <w:rsid w:val="00307ED2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1BA"/>
    <w:rsid w:val="00361FE9"/>
    <w:rsid w:val="003624F2"/>
    <w:rsid w:val="00363854"/>
    <w:rsid w:val="00364315"/>
    <w:rsid w:val="003643E2"/>
    <w:rsid w:val="00370155"/>
    <w:rsid w:val="003712D5"/>
    <w:rsid w:val="003747DF"/>
    <w:rsid w:val="003760DA"/>
    <w:rsid w:val="00377E3D"/>
    <w:rsid w:val="003847E8"/>
    <w:rsid w:val="0038731D"/>
    <w:rsid w:val="00387B60"/>
    <w:rsid w:val="00390098"/>
    <w:rsid w:val="00392DA1"/>
    <w:rsid w:val="00393718"/>
    <w:rsid w:val="003949F5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D7C8C"/>
    <w:rsid w:val="003E0875"/>
    <w:rsid w:val="003E0BB8"/>
    <w:rsid w:val="003E5DE7"/>
    <w:rsid w:val="003E6CB0"/>
    <w:rsid w:val="003F1F5E"/>
    <w:rsid w:val="003F286A"/>
    <w:rsid w:val="003F6C21"/>
    <w:rsid w:val="003F77F8"/>
    <w:rsid w:val="004000A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01F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09B3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4CDD"/>
    <w:rsid w:val="004C52EF"/>
    <w:rsid w:val="004C5F34"/>
    <w:rsid w:val="004C600C"/>
    <w:rsid w:val="004C7888"/>
    <w:rsid w:val="004D1AC9"/>
    <w:rsid w:val="004D27DE"/>
    <w:rsid w:val="004D3F41"/>
    <w:rsid w:val="004D4CD3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14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2602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60A3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35949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30F0"/>
    <w:rsid w:val="006B54C5"/>
    <w:rsid w:val="006B5E80"/>
    <w:rsid w:val="006B7A2E"/>
    <w:rsid w:val="006C4709"/>
    <w:rsid w:val="006C6E4F"/>
    <w:rsid w:val="006D3005"/>
    <w:rsid w:val="006D504F"/>
    <w:rsid w:val="006E0CAC"/>
    <w:rsid w:val="006E1CFB"/>
    <w:rsid w:val="006E1F94"/>
    <w:rsid w:val="006E26C1"/>
    <w:rsid w:val="006E30A8"/>
    <w:rsid w:val="006E45B0"/>
    <w:rsid w:val="006E524F"/>
    <w:rsid w:val="006E5692"/>
    <w:rsid w:val="006E7D1E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6A36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2CF"/>
    <w:rsid w:val="007978E9"/>
    <w:rsid w:val="0079792C"/>
    <w:rsid w:val="007A0989"/>
    <w:rsid w:val="007A331F"/>
    <w:rsid w:val="007A3844"/>
    <w:rsid w:val="007A4381"/>
    <w:rsid w:val="007A5466"/>
    <w:rsid w:val="007A7EC1"/>
    <w:rsid w:val="007B4FCA"/>
    <w:rsid w:val="007B60BF"/>
    <w:rsid w:val="007B7B85"/>
    <w:rsid w:val="007C25A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434C3"/>
    <w:rsid w:val="00850CF0"/>
    <w:rsid w:val="00851869"/>
    <w:rsid w:val="00851C04"/>
    <w:rsid w:val="008531A1"/>
    <w:rsid w:val="00853A94"/>
    <w:rsid w:val="008547A3"/>
    <w:rsid w:val="008552A9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154B"/>
    <w:rsid w:val="008826F2"/>
    <w:rsid w:val="008845BA"/>
    <w:rsid w:val="00885203"/>
    <w:rsid w:val="008859CA"/>
    <w:rsid w:val="008861EE"/>
    <w:rsid w:val="00890B59"/>
    <w:rsid w:val="00890B82"/>
    <w:rsid w:val="008930D7"/>
    <w:rsid w:val="008947A7"/>
    <w:rsid w:val="00897E80"/>
    <w:rsid w:val="008A04FA"/>
    <w:rsid w:val="008A3188"/>
    <w:rsid w:val="008A3FDF"/>
    <w:rsid w:val="008A6418"/>
    <w:rsid w:val="008A7B11"/>
    <w:rsid w:val="008B05D8"/>
    <w:rsid w:val="008B0885"/>
    <w:rsid w:val="008B0B3D"/>
    <w:rsid w:val="008B2B1A"/>
    <w:rsid w:val="008B3428"/>
    <w:rsid w:val="008B398A"/>
    <w:rsid w:val="008B7785"/>
    <w:rsid w:val="008C0809"/>
    <w:rsid w:val="008C132C"/>
    <w:rsid w:val="008C3FD0"/>
    <w:rsid w:val="008D27A5"/>
    <w:rsid w:val="008D2AAB"/>
    <w:rsid w:val="008D309C"/>
    <w:rsid w:val="008D58F9"/>
    <w:rsid w:val="008E120F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0AF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12E5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2A0C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1F3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4D66"/>
    <w:rsid w:val="00AA597A"/>
    <w:rsid w:val="00AA7E52"/>
    <w:rsid w:val="00AB1655"/>
    <w:rsid w:val="00AB1873"/>
    <w:rsid w:val="00AB2C05"/>
    <w:rsid w:val="00AB3536"/>
    <w:rsid w:val="00AB474B"/>
    <w:rsid w:val="00AB579F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002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30CB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073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87FB3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CA4"/>
    <w:rsid w:val="00BC4E34"/>
    <w:rsid w:val="00BC50C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3E41"/>
    <w:rsid w:val="00C14EE6"/>
    <w:rsid w:val="00C151DA"/>
    <w:rsid w:val="00C152A1"/>
    <w:rsid w:val="00C16CCB"/>
    <w:rsid w:val="00C2142B"/>
    <w:rsid w:val="00C22987"/>
    <w:rsid w:val="00C23956"/>
    <w:rsid w:val="00C2454E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C2E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39D8"/>
    <w:rsid w:val="00D060A8"/>
    <w:rsid w:val="00D06605"/>
    <w:rsid w:val="00D0720F"/>
    <w:rsid w:val="00D074E2"/>
    <w:rsid w:val="00D11B0B"/>
    <w:rsid w:val="00D12A3E"/>
    <w:rsid w:val="00D1382D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3DE6"/>
    <w:rsid w:val="00D84870"/>
    <w:rsid w:val="00D91B92"/>
    <w:rsid w:val="00D926B3"/>
    <w:rsid w:val="00D92F63"/>
    <w:rsid w:val="00D947B6"/>
    <w:rsid w:val="00D94C2F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0F65"/>
    <w:rsid w:val="00DB1E96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10C"/>
    <w:rsid w:val="00E15F90"/>
    <w:rsid w:val="00E16D3E"/>
    <w:rsid w:val="00E17167"/>
    <w:rsid w:val="00E20352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1BC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3C9B"/>
    <w:rsid w:val="00E85DBD"/>
    <w:rsid w:val="00E87A99"/>
    <w:rsid w:val="00E90702"/>
    <w:rsid w:val="00E9241E"/>
    <w:rsid w:val="00E93DEF"/>
    <w:rsid w:val="00E947B1"/>
    <w:rsid w:val="00E96852"/>
    <w:rsid w:val="00EA16AC"/>
    <w:rsid w:val="00EA237B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C4877"/>
    <w:rsid w:val="00EC64FD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206"/>
    <w:rsid w:val="00EE43A2"/>
    <w:rsid w:val="00EE446E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694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478C6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D3AAC"/>
    <w:rsid w:val="00FD7793"/>
    <w:rsid w:val="00FE19C5"/>
    <w:rsid w:val="00FE3C30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DCB5D29-3D9C-47DC-B04E-61D659D1B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F478C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478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478C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478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478C6"/>
    <w:rPr>
      <w:b/>
      <w:bCs/>
    </w:rPr>
  </w:style>
  <w:style w:type="paragraph" w:styleId="Revision">
    <w:name w:val="Revision"/>
    <w:hidden/>
    <w:uiPriority w:val="99"/>
    <w:semiHidden/>
    <w:rsid w:val="00FE3C30"/>
    <w:rPr>
      <w:sz w:val="24"/>
      <w:szCs w:val="24"/>
    </w:rPr>
  </w:style>
  <w:style w:type="character" w:styleId="Hyperlink">
    <w:name w:val="Hyperlink"/>
    <w:basedOn w:val="DefaultParagraphFont"/>
    <w:unhideWhenUsed/>
    <w:rsid w:val="003E5DE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B31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778</Words>
  <Characters>4480</Characters>
  <Application>Microsoft Office Word</Application>
  <DocSecurity>4</DocSecurity>
  <Lines>97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SB00019 (Committee Report (Substituted))</vt:lpstr>
    </vt:vector>
  </TitlesOfParts>
  <Company>State of Texas</Company>
  <LinksUpToDate>false</LinksUpToDate>
  <CharactersWithSpaces>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23717</dc:subject>
  <dc:creator>State of Texas</dc:creator>
  <dc:description>SB 19 by Schwertner-(H)State Affairs (Substitute Document Number: 87R 22359)</dc:description>
  <cp:lastModifiedBy>Lauren Bustamante</cp:lastModifiedBy>
  <cp:revision>2</cp:revision>
  <cp:lastPrinted>2003-11-26T17:21:00Z</cp:lastPrinted>
  <dcterms:created xsi:type="dcterms:W3CDTF">2021-05-04T23:20:00Z</dcterms:created>
  <dcterms:modified xsi:type="dcterms:W3CDTF">2021-05-04T23:20:00Z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21.119.720</vt:lpwstr>
  </property>
</Properties>
</file>