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47A3B" w14:paraId="461C7C82" w14:textId="77777777" w:rsidTr="00345119">
        <w:tc>
          <w:tcPr>
            <w:tcW w:w="9576" w:type="dxa"/>
            <w:noWrap/>
          </w:tcPr>
          <w:p w14:paraId="72EE96CF" w14:textId="77777777" w:rsidR="008423E4" w:rsidRPr="0022177D" w:rsidRDefault="007B5726" w:rsidP="0077784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E16410" w14:textId="77777777" w:rsidR="008423E4" w:rsidRPr="0022177D" w:rsidRDefault="008423E4" w:rsidP="0077784D">
      <w:pPr>
        <w:jc w:val="center"/>
      </w:pPr>
    </w:p>
    <w:p w14:paraId="5AC895AC" w14:textId="77777777" w:rsidR="008423E4" w:rsidRPr="00B31F0E" w:rsidRDefault="008423E4" w:rsidP="0077784D"/>
    <w:p w14:paraId="5C22DBD9" w14:textId="77777777" w:rsidR="008423E4" w:rsidRPr="00742794" w:rsidRDefault="008423E4" w:rsidP="0077784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7A3B" w14:paraId="2F240B57" w14:textId="77777777" w:rsidTr="00345119">
        <w:tc>
          <w:tcPr>
            <w:tcW w:w="9576" w:type="dxa"/>
          </w:tcPr>
          <w:p w14:paraId="4058F10B" w14:textId="77777777" w:rsidR="008423E4" w:rsidRPr="00861995" w:rsidRDefault="007B5726" w:rsidP="0077784D">
            <w:pPr>
              <w:jc w:val="right"/>
            </w:pPr>
            <w:r>
              <w:t>C.S.S.B. 22</w:t>
            </w:r>
          </w:p>
        </w:tc>
      </w:tr>
      <w:tr w:rsidR="00947A3B" w14:paraId="1AC65916" w14:textId="77777777" w:rsidTr="00345119">
        <w:tc>
          <w:tcPr>
            <w:tcW w:w="9576" w:type="dxa"/>
          </w:tcPr>
          <w:p w14:paraId="14D3C201" w14:textId="77777777" w:rsidR="008423E4" w:rsidRPr="00861995" w:rsidRDefault="007B5726" w:rsidP="0077784D">
            <w:pPr>
              <w:jc w:val="right"/>
            </w:pPr>
            <w:r>
              <w:t xml:space="preserve">By: </w:t>
            </w:r>
            <w:r w:rsidR="000034A7">
              <w:t>Springer</w:t>
            </w:r>
          </w:p>
        </w:tc>
      </w:tr>
      <w:tr w:rsidR="00947A3B" w14:paraId="2F1C1008" w14:textId="77777777" w:rsidTr="00345119">
        <w:tc>
          <w:tcPr>
            <w:tcW w:w="9576" w:type="dxa"/>
          </w:tcPr>
          <w:p w14:paraId="465467B9" w14:textId="77777777" w:rsidR="008423E4" w:rsidRPr="00861995" w:rsidRDefault="007B5726" w:rsidP="0077784D">
            <w:pPr>
              <w:jc w:val="right"/>
            </w:pPr>
            <w:r>
              <w:t>Business &amp; Industry</w:t>
            </w:r>
          </w:p>
        </w:tc>
      </w:tr>
      <w:tr w:rsidR="00947A3B" w14:paraId="2655260F" w14:textId="77777777" w:rsidTr="00345119">
        <w:tc>
          <w:tcPr>
            <w:tcW w:w="9576" w:type="dxa"/>
          </w:tcPr>
          <w:p w14:paraId="629FC4FE" w14:textId="77777777" w:rsidR="008423E4" w:rsidRDefault="007B5726" w:rsidP="0077784D">
            <w:pPr>
              <w:jc w:val="right"/>
            </w:pPr>
            <w:r>
              <w:t>Committee Report (Substituted)</w:t>
            </w:r>
          </w:p>
        </w:tc>
      </w:tr>
    </w:tbl>
    <w:p w14:paraId="2BA1C280" w14:textId="77777777" w:rsidR="008423E4" w:rsidRDefault="008423E4" w:rsidP="0077784D">
      <w:pPr>
        <w:tabs>
          <w:tab w:val="right" w:pos="9360"/>
        </w:tabs>
      </w:pPr>
    </w:p>
    <w:p w14:paraId="77AF730D" w14:textId="77777777" w:rsidR="008423E4" w:rsidRDefault="008423E4" w:rsidP="0077784D"/>
    <w:p w14:paraId="20DDAFA9" w14:textId="77777777" w:rsidR="008423E4" w:rsidRDefault="008423E4" w:rsidP="0077784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47A3B" w14:paraId="5655D5C0" w14:textId="77777777" w:rsidTr="00A733CF">
        <w:tc>
          <w:tcPr>
            <w:tcW w:w="9360" w:type="dxa"/>
          </w:tcPr>
          <w:p w14:paraId="73A8BCA2" w14:textId="77777777" w:rsidR="008423E4" w:rsidRPr="00A8133F" w:rsidRDefault="007B5726" w:rsidP="007778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5995AE" w14:textId="77777777" w:rsidR="008423E4" w:rsidRDefault="008423E4" w:rsidP="0077784D"/>
          <w:p w14:paraId="26CFED62" w14:textId="0A5FE66E" w:rsidR="008423E4" w:rsidRDefault="007B5726" w:rsidP="0077784D">
            <w:pPr>
              <w:pStyle w:val="Header"/>
              <w:jc w:val="both"/>
            </w:pPr>
            <w:r>
              <w:t>Concerns have been raised that</w:t>
            </w:r>
            <w:r w:rsidR="00754F2E" w:rsidRPr="00F72B06">
              <w:t xml:space="preserve"> the burden of proof is </w:t>
            </w:r>
            <w:r>
              <w:t xml:space="preserve">currently </w:t>
            </w:r>
            <w:r w:rsidR="002934E7">
              <w:t xml:space="preserve">placed </w:t>
            </w:r>
            <w:r w:rsidR="00754F2E" w:rsidRPr="00F72B06">
              <w:t>on first responders</w:t>
            </w:r>
            <w:r w:rsidR="00AF0C88">
              <w:t xml:space="preserve"> and other public safety employees</w:t>
            </w:r>
            <w:r w:rsidR="00754F2E" w:rsidRPr="00F72B06">
              <w:t xml:space="preserve"> to prove that they contracted COVID-19 while on the job</w:t>
            </w:r>
            <w:r w:rsidR="00AF0C88">
              <w:t xml:space="preserve"> in the past year</w:t>
            </w:r>
            <w:r w:rsidR="00754F2E" w:rsidRPr="00F72B06">
              <w:t xml:space="preserve">. </w:t>
            </w:r>
            <w:r>
              <w:t>It has been argued that t</w:t>
            </w:r>
            <w:r w:rsidR="00754F2E" w:rsidRPr="00F72B06">
              <w:t xml:space="preserve">he burden of proof needs to be shifted </w:t>
            </w:r>
            <w:r w:rsidR="00AF0C88">
              <w:t xml:space="preserve">instead </w:t>
            </w:r>
            <w:r w:rsidR="00754F2E" w:rsidRPr="00F72B06">
              <w:t>to the employer</w:t>
            </w:r>
            <w:r w:rsidR="00276308">
              <w:t xml:space="preserve"> in order</w:t>
            </w:r>
            <w:r w:rsidR="00754F2E" w:rsidRPr="00F72B06">
              <w:t xml:space="preserve"> to ensure that </w:t>
            </w:r>
            <w:r w:rsidR="002934E7">
              <w:t xml:space="preserve">eligible </w:t>
            </w:r>
            <w:r w:rsidR="00AF0C88">
              <w:t>employees</w:t>
            </w:r>
            <w:r w:rsidR="008C2093">
              <w:t xml:space="preserve"> and their survivors</w:t>
            </w:r>
            <w:r w:rsidR="00754F2E" w:rsidRPr="00F72B06">
              <w:t xml:space="preserve"> are receiving appropriate benefits</w:t>
            </w:r>
            <w:r w:rsidR="008C2093">
              <w:t>, compensation, or assistance</w:t>
            </w:r>
            <w:r w:rsidR="00754F2E" w:rsidRPr="00F72B06">
              <w:t>.</w:t>
            </w:r>
            <w:r w:rsidR="00754F2E">
              <w:t xml:space="preserve"> </w:t>
            </w:r>
            <w:r>
              <w:t>C.S.</w:t>
            </w:r>
            <w:r w:rsidR="00754F2E">
              <w:t>S</w:t>
            </w:r>
            <w:r>
              <w:t>.</w:t>
            </w:r>
            <w:r w:rsidR="00754F2E">
              <w:t>B</w:t>
            </w:r>
            <w:r>
              <w:t>.</w:t>
            </w:r>
            <w:r w:rsidR="00754F2E">
              <w:t xml:space="preserve"> 22 </w:t>
            </w:r>
            <w:r>
              <w:t xml:space="preserve">seeks to establish a presumption that certain </w:t>
            </w:r>
            <w:r w:rsidR="00AF0C88">
              <w:t>public safety employees have contracted COVID-19 while on the job</w:t>
            </w:r>
            <w:r w:rsidR="000F674B">
              <w:t>,</w:t>
            </w:r>
            <w:r w:rsidR="008B0CE6">
              <w:t xml:space="preserve"> under certain conditions</w:t>
            </w:r>
            <w:r w:rsidR="000F674B">
              <w:t>,</w:t>
            </w:r>
            <w:r w:rsidR="00AF0C88">
              <w:t xml:space="preserve"> for purposes </w:t>
            </w:r>
            <w:r w:rsidR="008B0CE6">
              <w:t xml:space="preserve">of such </w:t>
            </w:r>
            <w:r w:rsidR="008C2093">
              <w:t xml:space="preserve">benefits, </w:t>
            </w:r>
            <w:r w:rsidR="00AF0C88">
              <w:t>compensation</w:t>
            </w:r>
            <w:r w:rsidR="008C2093">
              <w:t xml:space="preserve">, </w:t>
            </w:r>
            <w:r w:rsidR="00AF0C88">
              <w:t xml:space="preserve">and </w:t>
            </w:r>
            <w:r w:rsidR="008C2093">
              <w:t>assistance</w:t>
            </w:r>
            <w:r w:rsidR="00AF0C88">
              <w:t xml:space="preserve"> and provides for related claims to be filed by specified deadline</w:t>
            </w:r>
            <w:r w:rsidR="00BF6B1C">
              <w:t>s</w:t>
            </w:r>
            <w:r>
              <w:t>.</w:t>
            </w:r>
          </w:p>
          <w:p w14:paraId="11D292C9" w14:textId="77777777" w:rsidR="008423E4" w:rsidRPr="00E26B13" w:rsidRDefault="008423E4" w:rsidP="0077784D">
            <w:pPr>
              <w:rPr>
                <w:b/>
              </w:rPr>
            </w:pPr>
          </w:p>
        </w:tc>
      </w:tr>
      <w:tr w:rsidR="00947A3B" w14:paraId="0224D501" w14:textId="77777777" w:rsidTr="00A733CF">
        <w:tc>
          <w:tcPr>
            <w:tcW w:w="9360" w:type="dxa"/>
          </w:tcPr>
          <w:p w14:paraId="35F61173" w14:textId="77777777" w:rsidR="0017725B" w:rsidRDefault="007B5726" w:rsidP="007778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C08356E" w14:textId="77777777" w:rsidR="0017725B" w:rsidRDefault="0017725B" w:rsidP="0077784D">
            <w:pPr>
              <w:rPr>
                <w:b/>
                <w:u w:val="single"/>
              </w:rPr>
            </w:pPr>
          </w:p>
          <w:p w14:paraId="709B2BC7" w14:textId="56D928E0" w:rsidR="0061424E" w:rsidRPr="0061424E" w:rsidRDefault="007B5726" w:rsidP="0077784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14:paraId="0AF8B42D" w14:textId="77777777" w:rsidR="0017725B" w:rsidRPr="0017725B" w:rsidRDefault="0017725B" w:rsidP="0077784D">
            <w:pPr>
              <w:rPr>
                <w:b/>
                <w:u w:val="single"/>
              </w:rPr>
            </w:pPr>
          </w:p>
        </w:tc>
      </w:tr>
      <w:tr w:rsidR="00947A3B" w14:paraId="70F2F9CE" w14:textId="77777777" w:rsidTr="00A733CF">
        <w:tc>
          <w:tcPr>
            <w:tcW w:w="9360" w:type="dxa"/>
          </w:tcPr>
          <w:p w14:paraId="5A0C32BF" w14:textId="77777777" w:rsidR="008423E4" w:rsidRPr="00A8133F" w:rsidRDefault="007B5726" w:rsidP="007778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03A9C0" w14:textId="77777777" w:rsidR="008423E4" w:rsidRDefault="008423E4" w:rsidP="0077784D"/>
          <w:p w14:paraId="5E3F7D38" w14:textId="7149D356" w:rsidR="0061424E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</w:t>
            </w:r>
            <w:r>
              <w:t>ficer, department, agency, or institution.</w:t>
            </w:r>
          </w:p>
          <w:p w14:paraId="58D7FC32" w14:textId="77777777" w:rsidR="008423E4" w:rsidRPr="00E21FDC" w:rsidRDefault="008423E4" w:rsidP="0077784D">
            <w:pPr>
              <w:rPr>
                <w:b/>
              </w:rPr>
            </w:pPr>
          </w:p>
        </w:tc>
      </w:tr>
      <w:tr w:rsidR="00947A3B" w14:paraId="1FCC5C6F" w14:textId="77777777" w:rsidTr="00A733CF">
        <w:tc>
          <w:tcPr>
            <w:tcW w:w="9360" w:type="dxa"/>
          </w:tcPr>
          <w:p w14:paraId="34664667" w14:textId="77777777" w:rsidR="008423E4" w:rsidRPr="00A8133F" w:rsidRDefault="007B5726" w:rsidP="007778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A7ACEB" w14:textId="77777777" w:rsidR="008423E4" w:rsidRDefault="008423E4" w:rsidP="0077784D"/>
          <w:p w14:paraId="05A18280" w14:textId="0A52AB65" w:rsidR="00AF5833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 amends the </w:t>
            </w:r>
            <w:r w:rsidR="00C009F7" w:rsidRPr="00C009F7">
              <w:t>Government Code</w:t>
            </w:r>
            <w:r w:rsidR="00C009F7">
              <w:t xml:space="preserve"> </w:t>
            </w:r>
            <w:r>
              <w:t xml:space="preserve">to </w:t>
            </w:r>
            <w:r w:rsidR="004D6729">
              <w:t xml:space="preserve">establish that </w:t>
            </w:r>
            <w:r w:rsidR="006A684D">
              <w:t>a</w:t>
            </w:r>
            <w:r w:rsidR="00F47B74">
              <w:t>n individual who is a</w:t>
            </w:r>
            <w:r w:rsidR="00370E2B" w:rsidRPr="00750389">
              <w:t xml:space="preserve"> full-time </w:t>
            </w:r>
            <w:r w:rsidRPr="00AF5833">
              <w:t xml:space="preserve">detention officer, corrections employee, firefighter, peace officer, or emergency medical technician </w:t>
            </w:r>
            <w:r w:rsidR="00F47B74">
              <w:t xml:space="preserve">and </w:t>
            </w:r>
            <w:r w:rsidRPr="00AF5833">
              <w:t xml:space="preserve">who, based on a </w:t>
            </w:r>
            <w:r w:rsidR="004D6729">
              <w:t xml:space="preserve">federally approved </w:t>
            </w:r>
            <w:r w:rsidRPr="00AF5833">
              <w:t xml:space="preserve">test, suffers from severe acute respiratory syndrome coronavirus 2 (SARS-CoV-2) or coronavirus disease 2019 (COVID-19) that results in death or total or partial disability </w:t>
            </w:r>
            <w:r w:rsidR="002E352E">
              <w:t xml:space="preserve">is presumed to have </w:t>
            </w:r>
            <w:r w:rsidRPr="00AF5833">
              <w:t>contracted the virus or disea</w:t>
            </w:r>
            <w:r w:rsidRPr="00AF5833">
              <w:t>se during the course and scope of</w:t>
            </w:r>
            <w:r w:rsidR="00E8603F">
              <w:t xml:space="preserve"> the individual's</w:t>
            </w:r>
            <w:r w:rsidRPr="00AF5833">
              <w:t xml:space="preserve"> employment</w:t>
            </w:r>
            <w:r w:rsidR="00371D83">
              <w:t xml:space="preserve"> for purposes of benefits or compensation that the individual is otherwise entitled to receive</w:t>
            </w:r>
            <w:r w:rsidR="002E352E">
              <w:t>.</w:t>
            </w:r>
            <w:r w:rsidR="004D6729">
              <w:t xml:space="preserve"> </w:t>
            </w:r>
            <w:r w:rsidR="002E352E">
              <w:t>The presumption applies in the following circumstances:</w:t>
            </w:r>
          </w:p>
          <w:p w14:paraId="201814C9" w14:textId="734A0F48" w:rsidR="00750389" w:rsidRDefault="007B5726" w:rsidP="007778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F47B74">
              <w:t>individual</w:t>
            </w:r>
            <w:r w:rsidRPr="00AF5833">
              <w:t xml:space="preserve"> </w:t>
            </w:r>
            <w:r w:rsidR="00F96AB7" w:rsidRPr="00F96AB7">
              <w:t>is employed in the area designated in a disaster declaration by the governor</w:t>
            </w:r>
            <w:r w:rsidR="00F96AB7">
              <w:t xml:space="preserve"> </w:t>
            </w:r>
            <w:r w:rsidR="00E8603F">
              <w:t xml:space="preserve">under the Texas Disaster Act of 1975 </w:t>
            </w:r>
            <w:r w:rsidR="00F96AB7" w:rsidRPr="00F96AB7">
              <w:t>or another law and the disaster is related to</w:t>
            </w:r>
            <w:r w:rsidR="00F96AB7">
              <w:t xml:space="preserve"> </w:t>
            </w:r>
            <w:r w:rsidR="00F96AB7" w:rsidRPr="00F96AB7">
              <w:t>SARS-CoV-2</w:t>
            </w:r>
            <w:r w:rsidR="00F96AB7">
              <w:t xml:space="preserve"> or </w:t>
            </w:r>
            <w:r w:rsidR="00F96AB7" w:rsidRPr="00F96AB7">
              <w:t>COVID-19</w:t>
            </w:r>
            <w:r>
              <w:t>;</w:t>
            </w:r>
            <w:r w:rsidR="00F96AB7">
              <w:t xml:space="preserve"> </w:t>
            </w:r>
          </w:p>
          <w:p w14:paraId="56E223E8" w14:textId="72710689" w:rsidR="009C36CD" w:rsidRDefault="007B5726" w:rsidP="007778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50389">
              <w:t xml:space="preserve">the </w:t>
            </w:r>
            <w:r w:rsidR="00F47B74">
              <w:t>individual</w:t>
            </w:r>
            <w:r w:rsidRPr="00750389">
              <w:t xml:space="preserve"> </w:t>
            </w:r>
            <w:r w:rsidR="00F96AB7" w:rsidRPr="00F96AB7">
              <w:t>contracts the disease during the disaster declared by the governor</w:t>
            </w:r>
            <w:r w:rsidR="00F96AB7">
              <w:t>;</w:t>
            </w:r>
            <w:r>
              <w:t xml:space="preserve"> and</w:t>
            </w:r>
          </w:p>
          <w:p w14:paraId="3C8860A9" w14:textId="495A9130" w:rsidR="00F96AB7" w:rsidRDefault="007B5726" w:rsidP="007778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E352E">
              <w:t xml:space="preserve">the </w:t>
            </w:r>
            <w:r w:rsidR="00F47B74">
              <w:t>individual</w:t>
            </w:r>
            <w:r w:rsidRPr="002E352E">
              <w:t xml:space="preserve"> </w:t>
            </w:r>
            <w:r w:rsidR="00750389" w:rsidRPr="00750389">
              <w:t>was last on duty not more than 14 days before the date the person tests positive for</w:t>
            </w:r>
            <w:r w:rsidR="00750389">
              <w:t xml:space="preserve"> </w:t>
            </w:r>
            <w:r w:rsidR="00750389" w:rsidRPr="00750389">
              <w:t>SARS-CoV-2 or COVID-19</w:t>
            </w:r>
            <w:r>
              <w:t>.</w:t>
            </w:r>
          </w:p>
          <w:p w14:paraId="49B2AB89" w14:textId="25E54796" w:rsidR="00BE4F78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761AE4">
              <w:t xml:space="preserve">presumption does not affect the </w:t>
            </w:r>
            <w:r w:rsidR="00F47B74">
              <w:t xml:space="preserve">individual's </w:t>
            </w:r>
            <w:r w:rsidR="00761AE4">
              <w:t xml:space="preserve">right to </w:t>
            </w:r>
            <w:r w:rsidR="00761AE4" w:rsidRPr="00761AE4">
              <w:t>provide proof, without the use of the presumption</w:t>
            </w:r>
            <w:r w:rsidR="00761AE4">
              <w:t xml:space="preserve">, </w:t>
            </w:r>
            <w:r w:rsidR="00761AE4" w:rsidRPr="00761AE4">
              <w:t>that an injury or illness occurred during the course and scope of employment.</w:t>
            </w:r>
            <w:r w:rsidR="00F47B74">
              <w:t xml:space="preserve"> The bill </w:t>
            </w:r>
            <w:r w:rsidR="007655D3">
              <w:t>makes provisions establishing</w:t>
            </w:r>
            <w:r w:rsidR="00F47B74">
              <w:t xml:space="preserve"> a presumption that </w:t>
            </w:r>
            <w:r w:rsidR="00276308">
              <w:t xml:space="preserve">a </w:t>
            </w:r>
            <w:r w:rsidR="00C77C04" w:rsidRPr="00C77C04">
              <w:t xml:space="preserve">firefighter, peace officer, or emergency medical technician </w:t>
            </w:r>
            <w:r w:rsidR="00F47B74" w:rsidRPr="00F47B74">
              <w:t>who suffer</w:t>
            </w:r>
            <w:r w:rsidR="00C77C04">
              <w:t>s</w:t>
            </w:r>
            <w:r w:rsidR="00F47B74" w:rsidRPr="00F47B74">
              <w:t xml:space="preserve"> from tuberculosis</w:t>
            </w:r>
            <w:r w:rsidR="00F47B74">
              <w:t xml:space="preserve"> or other respiratory illness </w:t>
            </w:r>
            <w:r w:rsidR="00033013" w:rsidRPr="00C77C04">
              <w:t>ha</w:t>
            </w:r>
            <w:r w:rsidR="00033013">
              <w:t>s</w:t>
            </w:r>
            <w:r w:rsidR="00033013" w:rsidRPr="00C77C04">
              <w:t xml:space="preserve"> </w:t>
            </w:r>
            <w:r w:rsidR="00C77C04" w:rsidRPr="00C77C04">
              <w:t>contracted the disease or illness during the course and scope of employment</w:t>
            </w:r>
            <w:r w:rsidR="00C77C04">
              <w:t xml:space="preserve"> </w:t>
            </w:r>
            <w:r w:rsidR="007655D3">
              <w:t xml:space="preserve">inapplicable </w:t>
            </w:r>
            <w:r w:rsidR="00C77C04">
              <w:t xml:space="preserve">to a claim that the individual suffers from </w:t>
            </w:r>
            <w:r w:rsidR="00C77C04" w:rsidRPr="00C77C04">
              <w:t>SARS-CoV-2</w:t>
            </w:r>
            <w:r w:rsidR="00C77C04">
              <w:t xml:space="preserve"> or </w:t>
            </w:r>
            <w:r w:rsidR="00C77C04" w:rsidRPr="00C77C04">
              <w:t>COVID-19</w:t>
            </w:r>
            <w:r w:rsidR="00C77C04">
              <w:t>.</w:t>
            </w:r>
            <w:r w:rsidR="008157C9">
              <w:t xml:space="preserve"> </w:t>
            </w:r>
            <w:r w:rsidR="00DA0329">
              <w:t>The bill defines the following:</w:t>
            </w:r>
          </w:p>
          <w:p w14:paraId="38912EDC" w14:textId="0C3A89F0" w:rsidR="00DA0329" w:rsidRDefault="007B5726" w:rsidP="0077784D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"corrections employee" means </w:t>
            </w:r>
            <w:r w:rsidRPr="0084219A">
              <w:t xml:space="preserve">an employee of the Texas Department of Criminal Justice whose </w:t>
            </w:r>
            <w:r w:rsidRPr="0084219A">
              <w:t>job duties require regular interaction with the public or an incarcerated population</w:t>
            </w:r>
            <w:r>
              <w:t>; and</w:t>
            </w:r>
          </w:p>
          <w:p w14:paraId="6DB92853" w14:textId="34BF7E65" w:rsidR="00DA0329" w:rsidRDefault="007B5726" w:rsidP="0077784D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"detention officer" means </w:t>
            </w:r>
            <w:r w:rsidRPr="0084219A">
              <w:t xml:space="preserve">an individual employed by a state agency or political subdivision of the state to ensure the safekeeping of prisoners and the security of a </w:t>
            </w:r>
            <w:r w:rsidRPr="0084219A">
              <w:t xml:space="preserve">municipal, county, or state penal institution in </w:t>
            </w:r>
            <w:r>
              <w:t>Texas.</w:t>
            </w:r>
          </w:p>
          <w:p w14:paraId="4F19E0F7" w14:textId="77777777" w:rsidR="00BE4F78" w:rsidRDefault="00BE4F78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DADB4D" w14:textId="57F50D9E" w:rsidR="00197631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 </w:t>
            </w:r>
            <w:r w:rsidR="00791C2C">
              <w:t xml:space="preserve">extends </w:t>
            </w:r>
            <w:r w:rsidR="00AB5C46">
              <w:t xml:space="preserve">the applicability of </w:t>
            </w:r>
            <w:r w:rsidR="00791C2C">
              <w:t xml:space="preserve">provisions authorizing the rebuttal of </w:t>
            </w:r>
            <w:r w:rsidR="00AB5C46">
              <w:t xml:space="preserve">a </w:t>
            </w:r>
            <w:r w:rsidR="00791C2C">
              <w:t>presumption of certain disease</w:t>
            </w:r>
            <w:r w:rsidR="00AB5C46">
              <w:t>s</w:t>
            </w:r>
            <w:r w:rsidR="00791C2C">
              <w:t xml:space="preserve"> or illness</w:t>
            </w:r>
            <w:r w:rsidR="00AB5C46">
              <w:t>es</w:t>
            </w:r>
            <w:r w:rsidR="00791C2C">
              <w:t xml:space="preserve"> </w:t>
            </w:r>
            <w:r w:rsidR="00AB5C46">
              <w:t>being contracted during the course and scope of certain employment to</w:t>
            </w:r>
            <w:r w:rsidR="00791C2C">
              <w:t xml:space="preserve"> the presumption regarding SARS-CoV-2 and COVID-19 but </w:t>
            </w:r>
            <w:r>
              <w:t xml:space="preserve">prohibits a rebuttal to </w:t>
            </w:r>
            <w:r w:rsidR="00AB5C46">
              <w:t xml:space="preserve">that </w:t>
            </w:r>
            <w:r w:rsidR="00853362">
              <w:t xml:space="preserve">presumption from being </w:t>
            </w:r>
            <w:r w:rsidR="00853362" w:rsidRPr="00853362">
              <w:t xml:space="preserve">based </w:t>
            </w:r>
            <w:r w:rsidR="003A55E1">
              <w:t xml:space="preserve">solely </w:t>
            </w:r>
            <w:r w:rsidR="00853362" w:rsidRPr="00853362">
              <w:t xml:space="preserve">on </w:t>
            </w:r>
            <w:r w:rsidR="00853362">
              <w:t xml:space="preserve">evidence </w:t>
            </w:r>
            <w:r w:rsidR="00853362" w:rsidRPr="00853362">
              <w:t>relating to the risk of exposure to</w:t>
            </w:r>
            <w:r w:rsidR="00853362">
              <w:t xml:space="preserve"> </w:t>
            </w:r>
            <w:r w:rsidR="00853362" w:rsidRPr="00853362">
              <w:t>SARS</w:t>
            </w:r>
            <w:r w:rsidR="003A34C9">
              <w:noBreakHyphen/>
            </w:r>
            <w:r w:rsidR="00853362" w:rsidRPr="00853362">
              <w:t>CoV</w:t>
            </w:r>
            <w:r w:rsidR="003A34C9">
              <w:noBreakHyphen/>
            </w:r>
            <w:r w:rsidR="00853362" w:rsidRPr="00853362">
              <w:t>2 or COVID-19</w:t>
            </w:r>
            <w:r w:rsidR="00853362">
              <w:t xml:space="preserve"> </w:t>
            </w:r>
            <w:r w:rsidR="00853362" w:rsidRPr="00853362">
              <w:t>of a person with whom</w:t>
            </w:r>
            <w:r w:rsidR="00853362">
              <w:t xml:space="preserve"> a</w:t>
            </w:r>
            <w:r w:rsidR="00FE0138">
              <w:t xml:space="preserve"> qualified</w:t>
            </w:r>
            <w:r w:rsidR="00853362">
              <w:t xml:space="preserve"> </w:t>
            </w:r>
            <w:r w:rsidR="00F47B74">
              <w:t>individual</w:t>
            </w:r>
            <w:r w:rsidR="00853362">
              <w:t xml:space="preserve"> resides</w:t>
            </w:r>
            <w:r w:rsidR="009814A1">
              <w:t xml:space="preserve">. The bill establishes that a rebuttal to that presumption may be based on </w:t>
            </w:r>
            <w:r w:rsidR="00853362" w:rsidRPr="00853362">
              <w:t xml:space="preserve">evidence that a person with whom </w:t>
            </w:r>
            <w:r w:rsidR="0088195A">
              <w:t xml:space="preserve">a qualified </w:t>
            </w:r>
            <w:r w:rsidR="00F47B74">
              <w:t>individual</w:t>
            </w:r>
            <w:r w:rsidR="00853362" w:rsidRPr="00853362">
              <w:t xml:space="preserve"> resides had a confirmed diagnosis of</w:t>
            </w:r>
            <w:r w:rsidR="00853362">
              <w:t xml:space="preserve"> </w:t>
            </w:r>
            <w:r w:rsidR="00853362" w:rsidRPr="00853362">
              <w:t>SARS-CoV-2</w:t>
            </w:r>
            <w:r w:rsidR="00853362">
              <w:t xml:space="preserve"> or </w:t>
            </w:r>
            <w:r w:rsidR="00853362" w:rsidRPr="00853362">
              <w:t>COVID-19</w:t>
            </w:r>
            <w:r w:rsidR="00853362">
              <w:t>.</w:t>
            </w:r>
            <w:r w:rsidR="00F47B74">
              <w:t xml:space="preserve"> </w:t>
            </w:r>
          </w:p>
          <w:p w14:paraId="11A694E7" w14:textId="628A68DB" w:rsidR="0084219A" w:rsidRDefault="0084219A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B60C2B" w14:textId="6A58E8D8" w:rsidR="00DA0329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22 makes</w:t>
            </w:r>
            <w:r w:rsidRPr="00C4655D">
              <w:t xml:space="preserve"> provisions </w:t>
            </w:r>
            <w:r>
              <w:t xml:space="preserve">authorizing </w:t>
            </w:r>
            <w:r w:rsidRPr="00C4655D">
              <w:t>workers' compensation subclaims and r</w:t>
            </w:r>
            <w:r w:rsidRPr="00C4655D">
              <w:t xml:space="preserve">eimbursement </w:t>
            </w:r>
            <w:r>
              <w:t xml:space="preserve">of health care paid </w:t>
            </w:r>
            <w:r w:rsidRPr="00C4655D">
              <w:t xml:space="preserve">by a health insurer </w:t>
            </w:r>
            <w:r>
              <w:t xml:space="preserve">inapplicable to a </w:t>
            </w:r>
            <w:r w:rsidRPr="008157C9">
              <w:t>claim for compensation determined to be compensable or accepted by an insurance carrier as compensable using the presumption</w:t>
            </w:r>
            <w:r w:rsidR="00722247">
              <w:t xml:space="preserve"> regarding SARS-CoV-2 and COVID-19</w:t>
            </w:r>
            <w:r>
              <w:t>.</w:t>
            </w:r>
          </w:p>
          <w:p w14:paraId="5397E85D" w14:textId="77777777" w:rsidR="00BF6B1C" w:rsidRDefault="00BF6B1C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E5836E" w14:textId="215031A5" w:rsidR="00BF6B1C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22 amends the L</w:t>
            </w:r>
            <w:r>
              <w:t xml:space="preserve">abor Code to provide for an injured employee with such a claim to </w:t>
            </w:r>
            <w:r w:rsidRPr="00FD2915">
              <w:t>request reimbursement for health care paid by the employee</w:t>
            </w:r>
            <w:r>
              <w:t xml:space="preserve">, including copayments and partial payments, </w:t>
            </w:r>
            <w:r w:rsidRPr="00FD2915">
              <w:t xml:space="preserve">by submitting to the carrier a legible written request and documentation showing the </w:t>
            </w:r>
            <w:r w:rsidRPr="00FD2915">
              <w:t>amounts paid to the health care provider</w:t>
            </w:r>
            <w:r>
              <w:t xml:space="preserve">. The bill requires the carrier to either </w:t>
            </w:r>
            <w:r w:rsidRPr="00197631">
              <w:t>provide reimbursement or deny the request</w:t>
            </w:r>
            <w:r>
              <w:t xml:space="preserve"> not </w:t>
            </w:r>
            <w:r w:rsidRPr="00197631">
              <w:t xml:space="preserve">later than the 45th day after the date </w:t>
            </w:r>
            <w:r>
              <w:t>the employee submits the</w:t>
            </w:r>
            <w:r w:rsidRPr="00197631">
              <w:t xml:space="preserve"> request for reimbursement</w:t>
            </w:r>
            <w:r>
              <w:t xml:space="preserve"> and provides for the employee to </w:t>
            </w:r>
            <w:r w:rsidRPr="00197631">
              <w:t xml:space="preserve">seek </w:t>
            </w:r>
            <w:r w:rsidRPr="00197631">
              <w:t>medical dispute resolution</w:t>
            </w:r>
            <w:r>
              <w:t xml:space="preserve"> if the carrier denies the request.</w:t>
            </w:r>
          </w:p>
          <w:p w14:paraId="2AD34E9D" w14:textId="77777777" w:rsidR="00BF6B1C" w:rsidRDefault="00BF6B1C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352BC8" w14:textId="53195A09" w:rsidR="003A55E1" w:rsidRPr="009C36CD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 </w:t>
            </w:r>
            <w:r w:rsidR="00834152">
              <w:t xml:space="preserve">applies to a claim for benefits, compensation, or assistance pending on or filed on or after the bill's effective date. The bill </w:t>
            </w:r>
            <w:r>
              <w:t xml:space="preserve">authorizes a person to </w:t>
            </w:r>
            <w:r w:rsidRPr="003A55E1">
              <w:t>file a claim for benefits, co</w:t>
            </w:r>
            <w:r w:rsidRPr="003A55E1">
              <w:t>mpensation, or assistance related to SARS-CoV-2</w:t>
            </w:r>
            <w:r>
              <w:t xml:space="preserve"> </w:t>
            </w:r>
            <w:r w:rsidR="00FF465F">
              <w:t xml:space="preserve">or </w:t>
            </w:r>
            <w:r w:rsidR="00FF465F" w:rsidRPr="00FF465F">
              <w:t>COVID-19</w:t>
            </w:r>
            <w:r w:rsidR="00FF465F">
              <w:t xml:space="preserve"> </w:t>
            </w:r>
            <w:r w:rsidR="00CE48F3">
              <w:t>not later than six months</w:t>
            </w:r>
            <w:r w:rsidRPr="003A55E1">
              <w:t xml:space="preserve"> after the </w:t>
            </w:r>
            <w:r>
              <w:t xml:space="preserve">bill's </w:t>
            </w:r>
            <w:r w:rsidRPr="003A55E1">
              <w:t>effective date</w:t>
            </w:r>
            <w:r>
              <w:t xml:space="preserve"> if the person </w:t>
            </w:r>
            <w:r w:rsidRPr="003A55E1">
              <w:t>contracted SARS-CoV-2</w:t>
            </w:r>
            <w:r>
              <w:t xml:space="preserve"> or </w:t>
            </w:r>
            <w:r w:rsidRPr="003A55E1">
              <w:t>COVID-19</w:t>
            </w:r>
            <w:r>
              <w:t xml:space="preserve"> </w:t>
            </w:r>
            <w:r w:rsidRPr="003A55E1">
              <w:t>on or after the date the governor declared a disaster</w:t>
            </w:r>
            <w:r>
              <w:t xml:space="preserve"> </w:t>
            </w:r>
            <w:r w:rsidRPr="003A55E1">
              <w:t xml:space="preserve">relating to </w:t>
            </w:r>
            <w:r w:rsidR="0088195A">
              <w:t xml:space="preserve">SARS-CoV-2 or </w:t>
            </w:r>
            <w:r w:rsidRPr="003A55E1">
              <w:t>COVID-19</w:t>
            </w:r>
            <w:r>
              <w:t xml:space="preserve"> </w:t>
            </w:r>
            <w:r w:rsidR="00CE48F3">
              <w:t xml:space="preserve">but before the bill's effective date, regardless of </w:t>
            </w:r>
            <w:r w:rsidR="00CE48F3" w:rsidRPr="00CE48F3">
              <w:t>whether that claim is otherwise considered untimely</w:t>
            </w:r>
            <w:r w:rsidR="00CE48F3">
              <w:t xml:space="preserve">. The bill authorizes </w:t>
            </w:r>
            <w:r w:rsidR="00C8719F">
              <w:t xml:space="preserve">a </w:t>
            </w:r>
            <w:r w:rsidR="00CE48F3">
              <w:t xml:space="preserve">person who filed </w:t>
            </w:r>
            <w:r w:rsidR="00E10ADF">
              <w:t xml:space="preserve">such </w:t>
            </w:r>
            <w:r w:rsidR="00CE48F3">
              <w:t xml:space="preserve">a claim </w:t>
            </w:r>
            <w:r w:rsidR="00E10ADF">
              <w:t xml:space="preserve">before the bill's effective date and </w:t>
            </w:r>
            <w:r w:rsidR="00834152">
              <w:t xml:space="preserve">whose claim </w:t>
            </w:r>
            <w:r w:rsidR="00CE48F3">
              <w:t xml:space="preserve">was subsequently denied to </w:t>
            </w:r>
            <w:r w:rsidR="00BE4F78" w:rsidRPr="00BE4F78">
              <w:t>request in writing</w:t>
            </w:r>
            <w:r w:rsidR="00BE4F78">
              <w:t xml:space="preserve">, not later than </w:t>
            </w:r>
            <w:r w:rsidR="00BE4F78" w:rsidRPr="00BE4F78">
              <w:t xml:space="preserve">one year after the </w:t>
            </w:r>
            <w:r w:rsidR="00BE4F78">
              <w:t xml:space="preserve">bill's </w:t>
            </w:r>
            <w:r w:rsidR="00BE4F78" w:rsidRPr="00BE4F78">
              <w:t>effective date</w:t>
            </w:r>
            <w:r w:rsidR="00BE4F78">
              <w:t>,</w:t>
            </w:r>
            <w:r w:rsidR="00BE4F78" w:rsidRPr="00BE4F78">
              <w:t xml:space="preserve"> that the insurance carrier reprocess the claim</w:t>
            </w:r>
            <w:r w:rsidR="00BE4F78">
              <w:t xml:space="preserve">. The bill requires the carrier to </w:t>
            </w:r>
            <w:r w:rsidR="00BE4F78" w:rsidRPr="00BE4F78">
              <w:t>reprocess the claim</w:t>
            </w:r>
            <w:r w:rsidR="00BE4F78">
              <w:t xml:space="preserve"> </w:t>
            </w:r>
            <w:r w:rsidR="00834152">
              <w:t xml:space="preserve">and provide notice regarding the carrier's decision </w:t>
            </w:r>
            <w:r w:rsidR="00BE4F78">
              <w:t xml:space="preserve">not </w:t>
            </w:r>
            <w:r w:rsidR="00BE4F78" w:rsidRPr="00BE4F78">
              <w:t xml:space="preserve">later than the 60th day after </w:t>
            </w:r>
            <w:r w:rsidR="00BE4F78">
              <w:t>receiving the</w:t>
            </w:r>
            <w:r w:rsidR="00BE4F78" w:rsidRPr="00BE4F78">
              <w:t xml:space="preserve"> written request</w:t>
            </w:r>
            <w:r w:rsidR="00BE4F78">
              <w:t xml:space="preserve"> and requires the </w:t>
            </w:r>
            <w:r w:rsidR="00BE4F78" w:rsidRPr="00BE4F78">
              <w:t>division of workers' compensation of the Texas Department of Insurance</w:t>
            </w:r>
            <w:r w:rsidR="00BE4F78">
              <w:t xml:space="preserve"> to </w:t>
            </w:r>
            <w:r w:rsidR="00BE4F78" w:rsidRPr="00BE4F78">
              <w:t xml:space="preserve">prescribe </w:t>
            </w:r>
            <w:r w:rsidR="00BE4F78">
              <w:t xml:space="preserve">clear and easily understandable </w:t>
            </w:r>
            <w:r w:rsidR="00BE4F78" w:rsidRPr="00BE4F78">
              <w:t xml:space="preserve">notice provisions for </w:t>
            </w:r>
            <w:r w:rsidR="00BE4F78">
              <w:t>a</w:t>
            </w:r>
            <w:r w:rsidR="00BE4F78" w:rsidRPr="00BE4F78">
              <w:t xml:space="preserve"> carrier to use</w:t>
            </w:r>
            <w:r w:rsidR="00BE4F78">
              <w:t>.</w:t>
            </w:r>
          </w:p>
          <w:p w14:paraId="7733F85F" w14:textId="77777777" w:rsidR="008423E4" w:rsidRPr="00835628" w:rsidRDefault="008423E4" w:rsidP="0077784D">
            <w:pPr>
              <w:rPr>
                <w:b/>
              </w:rPr>
            </w:pPr>
          </w:p>
        </w:tc>
      </w:tr>
      <w:tr w:rsidR="00947A3B" w14:paraId="7212344D" w14:textId="77777777" w:rsidTr="00A733CF">
        <w:tc>
          <w:tcPr>
            <w:tcW w:w="9360" w:type="dxa"/>
          </w:tcPr>
          <w:p w14:paraId="7E02D4FA" w14:textId="77777777" w:rsidR="008423E4" w:rsidRPr="00A8133F" w:rsidRDefault="007B5726" w:rsidP="007778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B18609" w14:textId="77777777" w:rsidR="008423E4" w:rsidRDefault="008423E4" w:rsidP="0077784D"/>
          <w:p w14:paraId="2E6FF3FE" w14:textId="7D5053D2" w:rsidR="008423E4" w:rsidRPr="003624F2" w:rsidRDefault="007B5726" w:rsidP="00777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2021.</w:t>
            </w:r>
          </w:p>
          <w:p w14:paraId="17F02042" w14:textId="77777777" w:rsidR="008423E4" w:rsidRPr="00233FDB" w:rsidRDefault="008423E4" w:rsidP="0077784D">
            <w:pPr>
              <w:rPr>
                <w:b/>
              </w:rPr>
            </w:pPr>
          </w:p>
        </w:tc>
      </w:tr>
      <w:tr w:rsidR="00947A3B" w14:paraId="65F1C859" w14:textId="77777777" w:rsidTr="00A733CF">
        <w:tc>
          <w:tcPr>
            <w:tcW w:w="9360" w:type="dxa"/>
          </w:tcPr>
          <w:p w14:paraId="3F6D743F" w14:textId="77777777" w:rsidR="000034A7" w:rsidRDefault="007B5726" w:rsidP="007778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5FF54565" w14:textId="77777777" w:rsidR="00C77C04" w:rsidRDefault="00C77C04" w:rsidP="0077784D">
            <w:pPr>
              <w:jc w:val="both"/>
            </w:pPr>
          </w:p>
          <w:p w14:paraId="055CC7DF" w14:textId="21284C1C" w:rsidR="00C77C04" w:rsidRDefault="007B5726" w:rsidP="0077784D">
            <w:pPr>
              <w:jc w:val="both"/>
            </w:pPr>
            <w:r>
              <w:t xml:space="preserve">While C.S.S.B. </w:t>
            </w:r>
            <w:r w:rsidR="005D6560">
              <w:t>22</w:t>
            </w:r>
            <w:r>
              <w:t xml:space="preserve"> may differ from the engrossed in minor or nonsubstantive ways, the following summarizes the substantial differences between the engrossed and committee su</w:t>
            </w:r>
            <w:r>
              <w:t>bstitute versions of the bill.</w:t>
            </w:r>
          </w:p>
          <w:p w14:paraId="21FC8F96" w14:textId="11B526A6" w:rsidR="0016798B" w:rsidRDefault="0016798B" w:rsidP="0077784D">
            <w:pPr>
              <w:jc w:val="both"/>
            </w:pPr>
          </w:p>
          <w:p w14:paraId="028810BA" w14:textId="27CB709D" w:rsidR="00072802" w:rsidRDefault="007B5726" w:rsidP="0077784D">
            <w:pPr>
              <w:jc w:val="both"/>
            </w:pPr>
            <w:r>
              <w:t xml:space="preserve">The substitute makes changes to the individuals to whom the presumption </w:t>
            </w:r>
            <w:r w:rsidR="00824172">
              <w:t xml:space="preserve">established by the bill </w:t>
            </w:r>
            <w:r>
              <w:t>applies, as follows:</w:t>
            </w:r>
          </w:p>
          <w:p w14:paraId="5DBDB2DD" w14:textId="220AC034" w:rsidR="00072802" w:rsidRDefault="007B5726" w:rsidP="0077784D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changes from a corrections officer employed by the Texas Department of Criminal Justice (TDCJ), which appea</w:t>
            </w:r>
            <w:r>
              <w:t xml:space="preserve">red in the engrossed, to a TDCJ employee whose job duties require regular interaction with the public or an incarcerated population; </w:t>
            </w:r>
            <w:r w:rsidR="00CD520C">
              <w:t>and</w:t>
            </w:r>
          </w:p>
          <w:p w14:paraId="6D987AF4" w14:textId="3316BA6E" w:rsidR="0016798B" w:rsidRDefault="007B5726" w:rsidP="0077784D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 xml:space="preserve">changes </w:t>
            </w:r>
            <w:r w:rsidR="00072802">
              <w:t xml:space="preserve">from a person employed as a licensed </w:t>
            </w:r>
            <w:r w:rsidR="00072802" w:rsidRPr="00072802">
              <w:t>county jail guard</w:t>
            </w:r>
            <w:r w:rsidR="00072802">
              <w:t xml:space="preserve">, which appeared in the engrossed, to an individual </w:t>
            </w:r>
            <w:r w:rsidR="00072802" w:rsidRPr="00072802">
              <w:t xml:space="preserve">employed by a state agency or political subdivision of the state to ensure the safekeeping of prisoners and the security of a municipal, county, or state penal institution in </w:t>
            </w:r>
            <w:r w:rsidR="00072802">
              <w:t>Texas</w:t>
            </w:r>
            <w:r>
              <w:t xml:space="preserve">. </w:t>
            </w:r>
          </w:p>
          <w:p w14:paraId="07932CA7" w14:textId="4E6D5BC2" w:rsidR="0016798B" w:rsidRDefault="0016798B" w:rsidP="0077784D">
            <w:pPr>
              <w:jc w:val="both"/>
            </w:pPr>
          </w:p>
          <w:p w14:paraId="5465EF07" w14:textId="700B722A" w:rsidR="00CE3669" w:rsidRDefault="007B5726" w:rsidP="0077784D">
            <w:pPr>
              <w:jc w:val="both"/>
            </w:pPr>
            <w:r>
              <w:t xml:space="preserve">The substitute does not include </w:t>
            </w:r>
            <w:r w:rsidR="00DD0FD6">
              <w:t xml:space="preserve">the </w:t>
            </w:r>
            <w:r>
              <w:t>provision</w:t>
            </w:r>
            <w:r w:rsidR="00CD2908">
              <w:t xml:space="preserve"> contained in the engrossed specifying that </w:t>
            </w:r>
            <w:r w:rsidR="00B0280D">
              <w:t>a disease</w:t>
            </w:r>
            <w:r w:rsidR="00116739">
              <w:t xml:space="preserve"> </w:t>
            </w:r>
            <w:r w:rsidR="00B0280D">
              <w:t>is not an applicable "ordinary disease of life"</w:t>
            </w:r>
            <w:r w:rsidR="00CD2908">
              <w:t xml:space="preserve"> if the disease </w:t>
            </w:r>
            <w:r w:rsidR="00722247">
              <w:t xml:space="preserve">is the basis for a </w:t>
            </w:r>
            <w:r w:rsidR="0094016A">
              <w:t xml:space="preserve">state of </w:t>
            </w:r>
            <w:r w:rsidR="00722247">
              <w:t>disaster declared by the governor under the Texas Disaster Act of 1975</w:t>
            </w:r>
            <w:r w:rsidR="00336EA8">
              <w:t>, with</w:t>
            </w:r>
            <w:r w:rsidR="00116739">
              <w:t xml:space="preserve"> respect to the entitlement of a public safety employee exposed to a contagious disease to certain reimbursement for medical expenses from the employing governmental entity.</w:t>
            </w:r>
            <w:r w:rsidR="00CD520C">
              <w:t xml:space="preserve"> </w:t>
            </w:r>
          </w:p>
          <w:p w14:paraId="3745A487" w14:textId="77777777" w:rsidR="00CE3669" w:rsidRDefault="00CE3669" w:rsidP="0077784D">
            <w:pPr>
              <w:jc w:val="both"/>
            </w:pPr>
          </w:p>
          <w:p w14:paraId="3A869774" w14:textId="5AC35704" w:rsidR="0016798B" w:rsidRDefault="007B5726" w:rsidP="0077784D">
            <w:pPr>
              <w:jc w:val="both"/>
            </w:pPr>
            <w:r>
              <w:t>The substitute revises the provisions of the engrossed establish</w:t>
            </w:r>
            <w:r w:rsidR="00824172">
              <w:t>ing</w:t>
            </w:r>
            <w:r>
              <w:t xml:space="preserve"> the presumption </w:t>
            </w:r>
            <w:r w:rsidR="00824172">
              <w:t>as follows</w:t>
            </w:r>
            <w:r>
              <w:t>:</w:t>
            </w:r>
          </w:p>
          <w:p w14:paraId="7EC9C96B" w14:textId="6DB7BFDD" w:rsidR="0016798B" w:rsidRDefault="007B5726" w:rsidP="0077784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by specifying that SARS-CoV-2</w:t>
            </w:r>
            <w:r w:rsidRPr="0016798B">
              <w:t xml:space="preserve"> </w:t>
            </w:r>
            <w:r>
              <w:t xml:space="preserve">and </w:t>
            </w:r>
            <w:r w:rsidRPr="0016798B">
              <w:t>COVID-19</w:t>
            </w:r>
            <w:r w:rsidR="00CA4353">
              <w:t xml:space="preserve">, based on a federally approved test, </w:t>
            </w:r>
            <w:r>
              <w:t xml:space="preserve">are the diseases to which the presumption applies, whereas the engrossed </w:t>
            </w:r>
            <w:r w:rsidR="00F57432">
              <w:t>applied to a</w:t>
            </w:r>
            <w:r w:rsidR="00824172">
              <w:t>ny</w:t>
            </w:r>
            <w:r w:rsidR="00F57432">
              <w:t xml:space="preserve"> </w:t>
            </w:r>
            <w:r w:rsidR="00F57432" w:rsidRPr="00F57432">
              <w:t xml:space="preserve">disease that is the basis for a </w:t>
            </w:r>
            <w:r>
              <w:t xml:space="preserve">state of </w:t>
            </w:r>
            <w:r w:rsidR="00F57432" w:rsidRPr="00F57432">
              <w:t>disaster declared by the governor</w:t>
            </w:r>
            <w:r w:rsidR="00F57432">
              <w:t>;</w:t>
            </w:r>
            <w:r w:rsidR="00824172">
              <w:t xml:space="preserve"> </w:t>
            </w:r>
            <w:r>
              <w:t>and</w:t>
            </w:r>
          </w:p>
          <w:p w14:paraId="3B8D7514" w14:textId="12EE1A22" w:rsidR="0094016A" w:rsidRDefault="007B5726" w:rsidP="0077784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by </w:t>
            </w:r>
            <w:r w:rsidR="00CA4353">
              <w:t xml:space="preserve">limiting applicability of the presumption to a </w:t>
            </w:r>
            <w:r w:rsidR="009D7F74">
              <w:t xml:space="preserve">full-time employee who was last on duty </w:t>
            </w:r>
            <w:r w:rsidR="009D7F74" w:rsidRPr="009D7F74">
              <w:t>not more than 14 days</w:t>
            </w:r>
            <w:r w:rsidR="009D7F74">
              <w:t xml:space="preserve"> before testing positive</w:t>
            </w:r>
            <w:r w:rsidR="00824172">
              <w:t xml:space="preserve"> for SARS-CoV-2 or COVID-19</w:t>
            </w:r>
            <w:r>
              <w:t>.</w:t>
            </w:r>
          </w:p>
          <w:p w14:paraId="5ACBF173" w14:textId="46112D36" w:rsidR="009D7F74" w:rsidRDefault="007B5726" w:rsidP="0077784D">
            <w:pPr>
              <w:jc w:val="both"/>
            </w:pPr>
            <w:r>
              <w:t>The substitute does not include the limitation on the applicability of the presumption to a claim that is filed before the first anniversary o</w:t>
            </w:r>
            <w:r>
              <w:t xml:space="preserve">f the date the state of disaster is terminated, which appeared in the engrossed.  </w:t>
            </w:r>
          </w:p>
          <w:p w14:paraId="0E663738" w14:textId="60EC872D" w:rsidR="00D50E04" w:rsidRDefault="00D50E04" w:rsidP="0077784D">
            <w:pPr>
              <w:jc w:val="both"/>
            </w:pPr>
          </w:p>
          <w:p w14:paraId="53700B0C" w14:textId="04E89B1B" w:rsidR="006D4D3D" w:rsidRDefault="007B5726" w:rsidP="0077784D">
            <w:pPr>
              <w:jc w:val="both"/>
            </w:pPr>
            <w:r>
              <w:t xml:space="preserve">The substitute also </w:t>
            </w:r>
            <w:r w:rsidR="009D7F74">
              <w:t>includ</w:t>
            </w:r>
            <w:r>
              <w:t>es</w:t>
            </w:r>
            <w:r w:rsidR="009D7F74">
              <w:t xml:space="preserve"> provisions not in the engrossed establish</w:t>
            </w:r>
            <w:r>
              <w:t>ing the following:</w:t>
            </w:r>
            <w:r w:rsidR="009D7F74">
              <w:t xml:space="preserve"> </w:t>
            </w:r>
          </w:p>
          <w:p w14:paraId="32E523CC" w14:textId="1874F5FA" w:rsidR="006D4D3D" w:rsidRDefault="007B5726" w:rsidP="0077784D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the </w:t>
            </w:r>
            <w:r w:rsidRPr="009D7F74">
              <w:t>presumption does not affect the individual's right to provide proof, without t</w:t>
            </w:r>
            <w:r w:rsidRPr="009D7F74">
              <w:t>he use of the presumption, that an injury or illness occurred during the</w:t>
            </w:r>
            <w:r>
              <w:t xml:space="preserve"> course and scope of employment;</w:t>
            </w:r>
          </w:p>
          <w:p w14:paraId="1FD49D79" w14:textId="4C6657F3" w:rsidR="006D4D3D" w:rsidRDefault="007B5726" w:rsidP="0077784D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 w:rsidRPr="009D7F74">
              <w:t xml:space="preserve">a presumption </w:t>
            </w:r>
            <w:r>
              <w:t xml:space="preserve">related to </w:t>
            </w:r>
            <w:r w:rsidRPr="009D7F74">
              <w:t xml:space="preserve">tuberculosis or other respiratory illness </w:t>
            </w:r>
            <w:r>
              <w:t>does not apply</w:t>
            </w:r>
            <w:r w:rsidRPr="009D7F74">
              <w:t xml:space="preserve"> to a claim that the individual suffers from SARS-CoV-2 or COVID-19</w:t>
            </w:r>
            <w:r>
              <w:t>; a</w:t>
            </w:r>
            <w:r>
              <w:t>nd</w:t>
            </w:r>
          </w:p>
          <w:p w14:paraId="74C50C22" w14:textId="22DC7BAE" w:rsidR="006D4D3D" w:rsidRDefault="007B5726" w:rsidP="0077784D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statutory </w:t>
            </w:r>
            <w:r w:rsidRPr="00C4655D">
              <w:t xml:space="preserve">provisions </w:t>
            </w:r>
            <w:r>
              <w:t xml:space="preserve">authorizing </w:t>
            </w:r>
            <w:r w:rsidRPr="00C4655D">
              <w:t xml:space="preserve">workers' compensation subclaims and reimbursement </w:t>
            </w:r>
            <w:r>
              <w:t xml:space="preserve">of health care paid </w:t>
            </w:r>
            <w:r w:rsidRPr="00C4655D">
              <w:t xml:space="preserve">by a health insurer </w:t>
            </w:r>
            <w:r>
              <w:t xml:space="preserve">do not apply to a </w:t>
            </w:r>
            <w:r w:rsidRPr="008157C9">
              <w:t>claim for compensation determined to be compensable or accepted by an insurance carrier as compensable using the</w:t>
            </w:r>
            <w:r w:rsidRPr="008157C9">
              <w:t xml:space="preserve"> presumption</w:t>
            </w:r>
            <w:r>
              <w:t xml:space="preserve"> under the bill. </w:t>
            </w:r>
          </w:p>
          <w:p w14:paraId="4AAEF586" w14:textId="74EE30C5" w:rsidR="00F779CE" w:rsidRDefault="007B5726" w:rsidP="0077784D">
            <w:pPr>
              <w:jc w:val="both"/>
            </w:pPr>
            <w:r>
              <w:t xml:space="preserve"> </w:t>
            </w:r>
          </w:p>
          <w:p w14:paraId="7032F802" w14:textId="052CA2F8" w:rsidR="00F779CE" w:rsidRDefault="007B5726" w:rsidP="0077784D">
            <w:pPr>
              <w:jc w:val="both"/>
            </w:pPr>
            <w:r>
              <w:t xml:space="preserve">With respect to the bill's provisions relating to </w:t>
            </w:r>
            <w:r w:rsidR="00724317">
              <w:t>a rebuttal to the presumption</w:t>
            </w:r>
            <w:r>
              <w:t>, the substitute includes the following provisions, which did not appear in the engrossed:</w:t>
            </w:r>
          </w:p>
          <w:p w14:paraId="17375E99" w14:textId="2EAD466B" w:rsidR="00F779CE" w:rsidRDefault="007B5726" w:rsidP="0077784D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 prohibition against the rebuttal being based solely </w:t>
            </w:r>
            <w:r>
              <w:t xml:space="preserve">on </w:t>
            </w:r>
            <w:r w:rsidR="00D50E04">
              <w:t xml:space="preserve">evidence </w:t>
            </w:r>
            <w:r w:rsidR="00D50E04" w:rsidRPr="00853362">
              <w:t>relating to the risk of exposure to</w:t>
            </w:r>
            <w:r w:rsidR="00D50E04">
              <w:t xml:space="preserve"> </w:t>
            </w:r>
            <w:r w:rsidR="00D50E04" w:rsidRPr="00853362">
              <w:t>SARS-CoV-2 or COVID-19</w:t>
            </w:r>
            <w:r w:rsidR="00D50E04">
              <w:t xml:space="preserve"> </w:t>
            </w:r>
            <w:r w:rsidR="00D50E04" w:rsidRPr="00853362">
              <w:t>of a person with whom</w:t>
            </w:r>
            <w:r w:rsidR="00D50E04">
              <w:t xml:space="preserve"> a qualified individual resides</w:t>
            </w:r>
            <w:r>
              <w:t xml:space="preserve">; </w:t>
            </w:r>
            <w:r w:rsidR="00D50E04">
              <w:t>and</w:t>
            </w:r>
          </w:p>
          <w:p w14:paraId="5BD63745" w14:textId="1C74A91C" w:rsidR="00724317" w:rsidRDefault="007B5726" w:rsidP="0077784D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 provision establishing </w:t>
            </w:r>
            <w:r w:rsidR="00D50E04">
              <w:t xml:space="preserve">that </w:t>
            </w:r>
            <w:r>
              <w:t>the rebuttal may be based on</w:t>
            </w:r>
            <w:r w:rsidR="00D50E04">
              <w:t xml:space="preserve"> evidence that a person with whom a qualified individual</w:t>
            </w:r>
            <w:r>
              <w:t xml:space="preserve"> </w:t>
            </w:r>
            <w:r w:rsidR="00D50E04">
              <w:t xml:space="preserve">resides had a confirmed diagnosis of SARS-CoV-2 or COVID-19. </w:t>
            </w:r>
          </w:p>
          <w:p w14:paraId="3B804708" w14:textId="0A5FA8E8" w:rsidR="00724317" w:rsidRDefault="00724317" w:rsidP="0077784D">
            <w:pPr>
              <w:jc w:val="both"/>
            </w:pPr>
          </w:p>
          <w:p w14:paraId="12DF9317" w14:textId="3494B7B2" w:rsidR="00724317" w:rsidRDefault="007B5726" w:rsidP="0077784D">
            <w:pPr>
              <w:jc w:val="both"/>
            </w:pPr>
            <w:r>
              <w:t xml:space="preserve">The substitute includes provisions that did not appear in the engrossed </w:t>
            </w:r>
            <w:r w:rsidR="00D50E04">
              <w:t xml:space="preserve">providing </w:t>
            </w:r>
            <w:r>
              <w:t>for a</w:t>
            </w:r>
            <w:r w:rsidRPr="00724317">
              <w:t>n injured employee whose claim for compensation is determined to be accepted by an insurance carrier as co</w:t>
            </w:r>
            <w:r w:rsidRPr="00724317">
              <w:t>mpensable using the presumption</w:t>
            </w:r>
            <w:r>
              <w:t xml:space="preserve"> </w:t>
            </w:r>
            <w:r w:rsidR="00D50E04">
              <w:t xml:space="preserve">under the bill </w:t>
            </w:r>
            <w:r>
              <w:t xml:space="preserve">to </w:t>
            </w:r>
            <w:r w:rsidRPr="00724317">
              <w:t>request</w:t>
            </w:r>
            <w:r>
              <w:t xml:space="preserve"> </w:t>
            </w:r>
            <w:r w:rsidRPr="00724317">
              <w:t>reimbursement for health care paid by the employee</w:t>
            </w:r>
            <w:r>
              <w:t xml:space="preserve">. The substitute </w:t>
            </w:r>
            <w:r w:rsidR="00D50E04">
              <w:t xml:space="preserve">includes </w:t>
            </w:r>
            <w:r>
              <w:t xml:space="preserve">additional requirements for the carrier's reimbursement or denial of the request and </w:t>
            </w:r>
            <w:r w:rsidR="00D50E04">
              <w:t xml:space="preserve">an authorization for an </w:t>
            </w:r>
            <w:r>
              <w:t xml:space="preserve">employee to </w:t>
            </w:r>
            <w:r w:rsidRPr="00724317">
              <w:t>s</w:t>
            </w:r>
            <w:r w:rsidRPr="00724317">
              <w:t>eek medical dispute resolution</w:t>
            </w:r>
            <w:r>
              <w:t xml:space="preserve"> </w:t>
            </w:r>
            <w:r w:rsidR="00E33067">
              <w:t>if the request is denied</w:t>
            </w:r>
            <w:r w:rsidR="00D50E04">
              <w:t>, which did not appear in the engrossed</w:t>
            </w:r>
            <w:r w:rsidR="00E33067">
              <w:t xml:space="preserve">. </w:t>
            </w:r>
          </w:p>
          <w:p w14:paraId="77BC500F" w14:textId="348AA03C" w:rsidR="00E33067" w:rsidRDefault="00E33067" w:rsidP="0077784D">
            <w:pPr>
              <w:jc w:val="both"/>
            </w:pPr>
          </w:p>
          <w:p w14:paraId="65115B8B" w14:textId="045C0198" w:rsidR="00C77C04" w:rsidRPr="00C77C04" w:rsidRDefault="007B5726" w:rsidP="0077784D">
            <w:pPr>
              <w:jc w:val="both"/>
            </w:pPr>
            <w:r>
              <w:t xml:space="preserve">Whereas the engrossed authorizes an applicable person to file a claim for benefits, compensation, or assistance related to SARS-CoV-2 or COVID-19 </w:t>
            </w:r>
            <w:r w:rsidR="006D4D3D">
              <w:t xml:space="preserve">any time </w:t>
            </w:r>
            <w:r>
              <w:t xml:space="preserve">on </w:t>
            </w:r>
            <w:r>
              <w:t>or after the bill's effective date</w:t>
            </w:r>
            <w:r w:rsidR="006D4D3D">
              <w:t xml:space="preserve"> regardless of whether the claim is otherwise considered untimely and makes the bill's provisions applicable to that claim, the substitute specifies that the claim must be filed</w:t>
            </w:r>
            <w:r w:rsidR="00FF465F">
              <w:t xml:space="preserve"> </w:t>
            </w:r>
            <w:r w:rsidR="00FF465F" w:rsidRPr="00FF465F">
              <w:t xml:space="preserve">not later than six months after the </w:t>
            </w:r>
            <w:r w:rsidR="00FF465F">
              <w:t xml:space="preserve">bill's </w:t>
            </w:r>
            <w:r w:rsidR="00FF465F" w:rsidRPr="00FF465F">
              <w:t>effective date</w:t>
            </w:r>
            <w:r w:rsidR="00FF465F">
              <w:t xml:space="preserve">. The </w:t>
            </w:r>
            <w:r w:rsidR="006D4D3D">
              <w:t xml:space="preserve">substitute </w:t>
            </w:r>
            <w:r w:rsidR="00FF465F">
              <w:t xml:space="preserve">extends the deadline </w:t>
            </w:r>
            <w:r w:rsidR="006D4D3D">
              <w:t xml:space="preserve">that appeared in the engrossed </w:t>
            </w:r>
            <w:r w:rsidR="00FF465F">
              <w:t xml:space="preserve">by which a person is required to </w:t>
            </w:r>
            <w:r w:rsidR="0061424E">
              <w:t xml:space="preserve">file a </w:t>
            </w:r>
            <w:r w:rsidR="00FF465F">
              <w:t xml:space="preserve">request to reprocess a previously denied claim </w:t>
            </w:r>
            <w:r w:rsidR="0061424E">
              <w:t xml:space="preserve">from </w:t>
            </w:r>
            <w:r w:rsidR="00F51608">
              <w:t xml:space="preserve">not later than </w:t>
            </w:r>
            <w:r w:rsidR="0061424E">
              <w:t>six mo</w:t>
            </w:r>
            <w:r w:rsidR="00F736D7">
              <w:t>n</w:t>
            </w:r>
            <w:r w:rsidR="0061424E">
              <w:t xml:space="preserve">ths after the bill's effective date to </w:t>
            </w:r>
            <w:r w:rsidR="00FF465F" w:rsidRPr="00FF465F">
              <w:t xml:space="preserve">not later than one year after the </w:t>
            </w:r>
            <w:r w:rsidR="0061424E">
              <w:t xml:space="preserve">bill's </w:t>
            </w:r>
            <w:r w:rsidR="00FF465F" w:rsidRPr="00FF465F">
              <w:t>effective date</w:t>
            </w:r>
            <w:r w:rsidR="00E33067" w:rsidRPr="00E33067">
              <w:t>.</w:t>
            </w:r>
          </w:p>
        </w:tc>
      </w:tr>
    </w:tbl>
    <w:p w14:paraId="1CDCBC5A" w14:textId="48D3695C" w:rsidR="004108C3" w:rsidRPr="0077784D" w:rsidRDefault="004108C3" w:rsidP="0077784D">
      <w:pPr>
        <w:rPr>
          <w:sz w:val="8"/>
        </w:rPr>
      </w:pPr>
    </w:p>
    <w:sectPr w:rsidR="004108C3" w:rsidRPr="0077784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8542" w14:textId="77777777" w:rsidR="00000000" w:rsidRDefault="007B5726">
      <w:r>
        <w:separator/>
      </w:r>
    </w:p>
  </w:endnote>
  <w:endnote w:type="continuationSeparator" w:id="0">
    <w:p w14:paraId="2163C31F" w14:textId="77777777" w:rsidR="00000000" w:rsidRDefault="007B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73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7A3B" w14:paraId="07A256C1" w14:textId="77777777" w:rsidTr="009C1E9A">
      <w:trPr>
        <w:cantSplit/>
      </w:trPr>
      <w:tc>
        <w:tcPr>
          <w:tcW w:w="0" w:type="pct"/>
        </w:tcPr>
        <w:p w14:paraId="24E6DE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EF46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8391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667F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A3C55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A3B" w14:paraId="68B3C96D" w14:textId="77777777" w:rsidTr="009C1E9A">
      <w:trPr>
        <w:cantSplit/>
      </w:trPr>
      <w:tc>
        <w:tcPr>
          <w:tcW w:w="0" w:type="pct"/>
        </w:tcPr>
        <w:p w14:paraId="79E6D8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096474" w14:textId="77777777" w:rsidR="00EC379B" w:rsidRPr="009C1E9A" w:rsidRDefault="007B57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24741</w:t>
          </w:r>
        </w:p>
      </w:tc>
      <w:tc>
        <w:tcPr>
          <w:tcW w:w="2453" w:type="pct"/>
        </w:tcPr>
        <w:p w14:paraId="0B5F790E" w14:textId="0D48EB42" w:rsidR="00EC379B" w:rsidRDefault="007B57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87C1E">
            <w:t>21.127.1140</w:t>
          </w:r>
          <w:r>
            <w:fldChar w:fldCharType="end"/>
          </w:r>
        </w:p>
      </w:tc>
    </w:tr>
    <w:tr w:rsidR="00947A3B" w14:paraId="1FBD587F" w14:textId="77777777" w:rsidTr="009C1E9A">
      <w:trPr>
        <w:cantSplit/>
      </w:trPr>
      <w:tc>
        <w:tcPr>
          <w:tcW w:w="0" w:type="pct"/>
        </w:tcPr>
        <w:p w14:paraId="5443556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6304575" w14:textId="77777777" w:rsidR="00EC379B" w:rsidRPr="009C1E9A" w:rsidRDefault="007B57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23393</w:t>
          </w:r>
        </w:p>
      </w:tc>
      <w:tc>
        <w:tcPr>
          <w:tcW w:w="2453" w:type="pct"/>
        </w:tcPr>
        <w:p w14:paraId="74E568B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EE9B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A3B" w14:paraId="2B9340C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F8BF87" w14:textId="66AFF5D3" w:rsidR="00EC379B" w:rsidRDefault="007B57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7784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AD86B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B2835E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C30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DF2D" w14:textId="77777777" w:rsidR="00000000" w:rsidRDefault="007B5726">
      <w:r>
        <w:separator/>
      </w:r>
    </w:p>
  </w:footnote>
  <w:footnote w:type="continuationSeparator" w:id="0">
    <w:p w14:paraId="78D609EE" w14:textId="77777777" w:rsidR="00000000" w:rsidRDefault="007B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146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3E7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177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38D"/>
    <w:multiLevelType w:val="hybridMultilevel"/>
    <w:tmpl w:val="E60E614C"/>
    <w:lvl w:ilvl="0" w:tplc="66960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A2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07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E4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8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CC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6E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62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C7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C84"/>
    <w:multiLevelType w:val="hybridMultilevel"/>
    <w:tmpl w:val="E1FC1050"/>
    <w:lvl w:ilvl="0" w:tplc="E4F65502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9694282C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79D08C8A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3F49C7A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8F24DDD2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80AE0AC4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5BBE16AE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9076997E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83A882E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EB3E54"/>
    <w:multiLevelType w:val="hybridMultilevel"/>
    <w:tmpl w:val="C6B48CC4"/>
    <w:lvl w:ilvl="0" w:tplc="22381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CF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F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4A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0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6AB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B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6D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81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2E2F"/>
    <w:multiLevelType w:val="hybridMultilevel"/>
    <w:tmpl w:val="038451EE"/>
    <w:lvl w:ilvl="0" w:tplc="B956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F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A0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4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4E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A7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C0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88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C1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370"/>
    <w:multiLevelType w:val="hybridMultilevel"/>
    <w:tmpl w:val="B57A8B50"/>
    <w:lvl w:ilvl="0" w:tplc="A7C0F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24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86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C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F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46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0E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04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5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A8F"/>
    <w:multiLevelType w:val="hybridMultilevel"/>
    <w:tmpl w:val="969A2FBC"/>
    <w:lvl w:ilvl="0" w:tplc="E370BD5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40F45BCC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4A873A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AF06E58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270D732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5DCDD46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EE4E0B4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DE09E2E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B87C1EB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FE4064C"/>
    <w:multiLevelType w:val="hybridMultilevel"/>
    <w:tmpl w:val="8C5E6C88"/>
    <w:lvl w:ilvl="0" w:tplc="AB28A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61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66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C5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2D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04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63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6D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3E39"/>
    <w:multiLevelType w:val="hybridMultilevel"/>
    <w:tmpl w:val="A3D6D8EE"/>
    <w:lvl w:ilvl="0" w:tplc="1C926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EA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7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A0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E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0A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A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E4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0A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C260D"/>
    <w:multiLevelType w:val="hybridMultilevel"/>
    <w:tmpl w:val="E5D49872"/>
    <w:lvl w:ilvl="0" w:tplc="3BA4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0B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8B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9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0C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6A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00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E2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4D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A7"/>
    <w:rsid w:val="00000A70"/>
    <w:rsid w:val="000032B8"/>
    <w:rsid w:val="000034A7"/>
    <w:rsid w:val="00003B06"/>
    <w:rsid w:val="000054B9"/>
    <w:rsid w:val="00007461"/>
    <w:rsid w:val="000102A1"/>
    <w:rsid w:val="0001117E"/>
    <w:rsid w:val="0001125F"/>
    <w:rsid w:val="00011D2E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13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A9C"/>
    <w:rsid w:val="00064BF2"/>
    <w:rsid w:val="000667BA"/>
    <w:rsid w:val="000676A7"/>
    <w:rsid w:val="00072802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669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4B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73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98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631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561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308"/>
    <w:rsid w:val="00277434"/>
    <w:rsid w:val="00280123"/>
    <w:rsid w:val="00281343"/>
    <w:rsid w:val="00281883"/>
    <w:rsid w:val="002874E3"/>
    <w:rsid w:val="00287656"/>
    <w:rsid w:val="00291518"/>
    <w:rsid w:val="002934E7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52E"/>
    <w:rsid w:val="002E7DF9"/>
    <w:rsid w:val="002F097B"/>
    <w:rsid w:val="002F0E21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6EA8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E2B"/>
    <w:rsid w:val="003712D5"/>
    <w:rsid w:val="00371D83"/>
    <w:rsid w:val="003747DF"/>
    <w:rsid w:val="00377E3D"/>
    <w:rsid w:val="003847E8"/>
    <w:rsid w:val="0038731D"/>
    <w:rsid w:val="00387B60"/>
    <w:rsid w:val="00387C1E"/>
    <w:rsid w:val="00390098"/>
    <w:rsid w:val="00392DA1"/>
    <w:rsid w:val="00393295"/>
    <w:rsid w:val="00393718"/>
    <w:rsid w:val="003A0296"/>
    <w:rsid w:val="003A10BC"/>
    <w:rsid w:val="003A34C9"/>
    <w:rsid w:val="003A55E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9A3"/>
    <w:rsid w:val="00400A6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34D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729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804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560"/>
    <w:rsid w:val="005D7165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24E"/>
    <w:rsid w:val="00614633"/>
    <w:rsid w:val="00614BC8"/>
    <w:rsid w:val="006151FB"/>
    <w:rsid w:val="00617411"/>
    <w:rsid w:val="006205C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84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D3D"/>
    <w:rsid w:val="006D504F"/>
    <w:rsid w:val="006E0CAC"/>
    <w:rsid w:val="006E1CFB"/>
    <w:rsid w:val="006E1F94"/>
    <w:rsid w:val="006E26C1"/>
    <w:rsid w:val="006E30A8"/>
    <w:rsid w:val="006E45B0"/>
    <w:rsid w:val="006E5692"/>
    <w:rsid w:val="006F10A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247"/>
    <w:rsid w:val="00722EC5"/>
    <w:rsid w:val="00723326"/>
    <w:rsid w:val="00724252"/>
    <w:rsid w:val="00724317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389"/>
    <w:rsid w:val="007509BE"/>
    <w:rsid w:val="0075287B"/>
    <w:rsid w:val="00754F2E"/>
    <w:rsid w:val="00755C7B"/>
    <w:rsid w:val="00761AE4"/>
    <w:rsid w:val="00764786"/>
    <w:rsid w:val="007655D3"/>
    <w:rsid w:val="00766E12"/>
    <w:rsid w:val="0077098E"/>
    <w:rsid w:val="00771287"/>
    <w:rsid w:val="0077149E"/>
    <w:rsid w:val="00777518"/>
    <w:rsid w:val="0077779E"/>
    <w:rsid w:val="0077784D"/>
    <w:rsid w:val="00780FB6"/>
    <w:rsid w:val="0078552A"/>
    <w:rsid w:val="00785729"/>
    <w:rsid w:val="00786058"/>
    <w:rsid w:val="00791C2C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F39"/>
    <w:rsid w:val="007B4FCA"/>
    <w:rsid w:val="007B5726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7C9"/>
    <w:rsid w:val="00815C9D"/>
    <w:rsid w:val="008170E2"/>
    <w:rsid w:val="00823E4C"/>
    <w:rsid w:val="00824172"/>
    <w:rsid w:val="00827749"/>
    <w:rsid w:val="00827B7E"/>
    <w:rsid w:val="00830EEB"/>
    <w:rsid w:val="00834152"/>
    <w:rsid w:val="008347A9"/>
    <w:rsid w:val="00835628"/>
    <w:rsid w:val="00835E90"/>
    <w:rsid w:val="0084176D"/>
    <w:rsid w:val="0084219A"/>
    <w:rsid w:val="008423E4"/>
    <w:rsid w:val="00842900"/>
    <w:rsid w:val="00850CF0"/>
    <w:rsid w:val="00851869"/>
    <w:rsid w:val="00851C04"/>
    <w:rsid w:val="008531A1"/>
    <w:rsid w:val="00853362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95A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0CE6"/>
    <w:rsid w:val="008B2B1A"/>
    <w:rsid w:val="008B3428"/>
    <w:rsid w:val="008B7785"/>
    <w:rsid w:val="008C0809"/>
    <w:rsid w:val="008C132C"/>
    <w:rsid w:val="008C2093"/>
    <w:rsid w:val="008C3FD0"/>
    <w:rsid w:val="008D27A5"/>
    <w:rsid w:val="008D2AAB"/>
    <w:rsid w:val="008D309C"/>
    <w:rsid w:val="008D58F9"/>
    <w:rsid w:val="008E3338"/>
    <w:rsid w:val="008E47BE"/>
    <w:rsid w:val="008E79F6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7A2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16A"/>
    <w:rsid w:val="009418E9"/>
    <w:rsid w:val="00946044"/>
    <w:rsid w:val="009465AB"/>
    <w:rsid w:val="00946DEE"/>
    <w:rsid w:val="00947A3B"/>
    <w:rsid w:val="00953076"/>
    <w:rsid w:val="00953499"/>
    <w:rsid w:val="00954A16"/>
    <w:rsid w:val="0095696D"/>
    <w:rsid w:val="0096482F"/>
    <w:rsid w:val="00964E3A"/>
    <w:rsid w:val="00966D6D"/>
    <w:rsid w:val="00967126"/>
    <w:rsid w:val="00970EAE"/>
    <w:rsid w:val="00971627"/>
    <w:rsid w:val="00972797"/>
    <w:rsid w:val="0097279D"/>
    <w:rsid w:val="00976837"/>
    <w:rsid w:val="00980311"/>
    <w:rsid w:val="009814A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DF1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F74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3CF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46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C88"/>
    <w:rsid w:val="00AF1433"/>
    <w:rsid w:val="00AF48B4"/>
    <w:rsid w:val="00AF4923"/>
    <w:rsid w:val="00AF5833"/>
    <w:rsid w:val="00AF7C74"/>
    <w:rsid w:val="00B000AF"/>
    <w:rsid w:val="00B0280D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6CE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01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F78"/>
    <w:rsid w:val="00BE5274"/>
    <w:rsid w:val="00BE71CD"/>
    <w:rsid w:val="00BE7748"/>
    <w:rsid w:val="00BE7BDA"/>
    <w:rsid w:val="00BF0548"/>
    <w:rsid w:val="00BF1CF4"/>
    <w:rsid w:val="00BF4949"/>
    <w:rsid w:val="00BF4D7C"/>
    <w:rsid w:val="00BF5085"/>
    <w:rsid w:val="00BF6B1C"/>
    <w:rsid w:val="00C009F7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55D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7CD"/>
    <w:rsid w:val="00C74379"/>
    <w:rsid w:val="00C74DD8"/>
    <w:rsid w:val="00C75C5E"/>
    <w:rsid w:val="00C7669F"/>
    <w:rsid w:val="00C76DFF"/>
    <w:rsid w:val="00C77C04"/>
    <w:rsid w:val="00C80B8F"/>
    <w:rsid w:val="00C82743"/>
    <w:rsid w:val="00C834CE"/>
    <w:rsid w:val="00C8719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353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908"/>
    <w:rsid w:val="00CD37DA"/>
    <w:rsid w:val="00CD4F2C"/>
    <w:rsid w:val="00CD520C"/>
    <w:rsid w:val="00CD731C"/>
    <w:rsid w:val="00CE08E8"/>
    <w:rsid w:val="00CE2133"/>
    <w:rsid w:val="00CE245D"/>
    <w:rsid w:val="00CE300F"/>
    <w:rsid w:val="00CE3582"/>
    <w:rsid w:val="00CE3669"/>
    <w:rsid w:val="00CE3795"/>
    <w:rsid w:val="00CE3E20"/>
    <w:rsid w:val="00CE48F3"/>
    <w:rsid w:val="00CF0B2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BD3"/>
    <w:rsid w:val="00D30534"/>
    <w:rsid w:val="00D35728"/>
    <w:rsid w:val="00D37BCF"/>
    <w:rsid w:val="00D40F93"/>
    <w:rsid w:val="00D42277"/>
    <w:rsid w:val="00D43C59"/>
    <w:rsid w:val="00D44ADE"/>
    <w:rsid w:val="00D50D65"/>
    <w:rsid w:val="00D50E04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329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FD6"/>
    <w:rsid w:val="00DD128C"/>
    <w:rsid w:val="00DD1B8F"/>
    <w:rsid w:val="00DD5BCC"/>
    <w:rsid w:val="00DD7509"/>
    <w:rsid w:val="00DD79C7"/>
    <w:rsid w:val="00DD7D6E"/>
    <w:rsid w:val="00DE34B2"/>
    <w:rsid w:val="00DE49DE"/>
    <w:rsid w:val="00DE579A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ADF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067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03F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FF2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B74"/>
    <w:rsid w:val="00F50130"/>
    <w:rsid w:val="00F51608"/>
    <w:rsid w:val="00F52402"/>
    <w:rsid w:val="00F5605D"/>
    <w:rsid w:val="00F570D2"/>
    <w:rsid w:val="00F57432"/>
    <w:rsid w:val="00F6514B"/>
    <w:rsid w:val="00F6587F"/>
    <w:rsid w:val="00F67981"/>
    <w:rsid w:val="00F706CA"/>
    <w:rsid w:val="00F70F8D"/>
    <w:rsid w:val="00F71C5A"/>
    <w:rsid w:val="00F72B06"/>
    <w:rsid w:val="00F733A4"/>
    <w:rsid w:val="00F736D7"/>
    <w:rsid w:val="00F7758F"/>
    <w:rsid w:val="00F779CE"/>
    <w:rsid w:val="00F82811"/>
    <w:rsid w:val="00F84153"/>
    <w:rsid w:val="00F85661"/>
    <w:rsid w:val="00F96602"/>
    <w:rsid w:val="00F96AB7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915"/>
    <w:rsid w:val="00FD3BE8"/>
    <w:rsid w:val="00FE013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65F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24E3ED-A81D-4683-8AF5-89C3AB1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03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3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389"/>
    <w:rPr>
      <w:b/>
      <w:bCs/>
    </w:rPr>
  </w:style>
  <w:style w:type="paragraph" w:styleId="ListParagraph">
    <w:name w:val="List Paragraph"/>
    <w:basedOn w:val="Normal"/>
    <w:uiPriority w:val="34"/>
    <w:qFormat/>
    <w:rsid w:val="001679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3076"/>
    <w:rPr>
      <w:color w:val="0000FF"/>
      <w:u w:val="single"/>
    </w:rPr>
  </w:style>
  <w:style w:type="paragraph" w:styleId="Revision">
    <w:name w:val="Revision"/>
    <w:hidden/>
    <w:uiPriority w:val="99"/>
    <w:semiHidden/>
    <w:rsid w:val="00F51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9036</Characters>
  <Application>Microsoft Office Word</Application>
  <DocSecurity>4</DocSecurity>
  <Lines>167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SB00022 (Committee Report (Substituted))</vt:lpstr>
    </vt:vector>
  </TitlesOfParts>
  <Company>State of Texas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24741</dc:subject>
  <dc:creator>State of Texas</dc:creator>
  <dc:description>SB 22 by Springer-(H)Business &amp; Industry (Substitute Document Number: 87R 23393)</dc:description>
  <cp:lastModifiedBy>Stacey Nicchio</cp:lastModifiedBy>
  <cp:revision>2</cp:revision>
  <cp:lastPrinted>2003-11-26T17:21:00Z</cp:lastPrinted>
  <dcterms:created xsi:type="dcterms:W3CDTF">2021-05-10T23:33:00Z</dcterms:created>
  <dcterms:modified xsi:type="dcterms:W3CDTF">2021-05-10T23:33:00Z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21.127.1140</vt:lpwstr>
  </property>
</Properties>
</file>