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3142E" w14:paraId="3A4A5BF4" w14:textId="77777777" w:rsidTr="00345119">
        <w:tc>
          <w:tcPr>
            <w:tcW w:w="9576" w:type="dxa"/>
            <w:noWrap/>
          </w:tcPr>
          <w:p w14:paraId="48BA9DF3" w14:textId="366F3316" w:rsidR="008423E4" w:rsidRPr="0022177D" w:rsidRDefault="001C03A9" w:rsidP="00373D5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1B66FF7" w14:textId="77777777" w:rsidR="008423E4" w:rsidRPr="0022177D" w:rsidRDefault="008423E4" w:rsidP="00373D55">
      <w:pPr>
        <w:jc w:val="center"/>
      </w:pPr>
    </w:p>
    <w:p w14:paraId="5EF225C7" w14:textId="77777777" w:rsidR="008423E4" w:rsidRPr="00B31F0E" w:rsidRDefault="008423E4" w:rsidP="00373D55"/>
    <w:p w14:paraId="0AA03556" w14:textId="77777777" w:rsidR="008423E4" w:rsidRPr="00742794" w:rsidRDefault="008423E4" w:rsidP="00373D5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3142E" w14:paraId="6C432140" w14:textId="77777777" w:rsidTr="00345119">
        <w:tc>
          <w:tcPr>
            <w:tcW w:w="9576" w:type="dxa"/>
          </w:tcPr>
          <w:p w14:paraId="3F2AE940" w14:textId="77777777" w:rsidR="008423E4" w:rsidRPr="00861995" w:rsidRDefault="001C03A9" w:rsidP="00373D55">
            <w:pPr>
              <w:jc w:val="right"/>
            </w:pPr>
            <w:r>
              <w:t>C.S.S.B. 24</w:t>
            </w:r>
          </w:p>
        </w:tc>
      </w:tr>
      <w:tr w:rsidR="0063142E" w14:paraId="7AF481B6" w14:textId="77777777" w:rsidTr="00345119">
        <w:tc>
          <w:tcPr>
            <w:tcW w:w="9576" w:type="dxa"/>
          </w:tcPr>
          <w:p w14:paraId="665F8EC1" w14:textId="77777777" w:rsidR="008423E4" w:rsidRPr="00861995" w:rsidRDefault="001C03A9" w:rsidP="00373D55">
            <w:pPr>
              <w:jc w:val="right"/>
            </w:pPr>
            <w:r>
              <w:t xml:space="preserve">By: </w:t>
            </w:r>
            <w:r w:rsidR="002E4525">
              <w:t>Huffman</w:t>
            </w:r>
          </w:p>
        </w:tc>
      </w:tr>
      <w:tr w:rsidR="0063142E" w14:paraId="41405C7F" w14:textId="77777777" w:rsidTr="00345119">
        <w:tc>
          <w:tcPr>
            <w:tcW w:w="9576" w:type="dxa"/>
          </w:tcPr>
          <w:p w14:paraId="11213023" w14:textId="77777777" w:rsidR="008423E4" w:rsidRPr="00861995" w:rsidRDefault="001C03A9" w:rsidP="00373D55">
            <w:pPr>
              <w:jc w:val="right"/>
            </w:pPr>
            <w:r>
              <w:t>Homeland Security &amp; Public Safety</w:t>
            </w:r>
          </w:p>
        </w:tc>
      </w:tr>
      <w:tr w:rsidR="0063142E" w14:paraId="148762A9" w14:textId="77777777" w:rsidTr="00345119">
        <w:tc>
          <w:tcPr>
            <w:tcW w:w="9576" w:type="dxa"/>
          </w:tcPr>
          <w:p w14:paraId="5D294D4D" w14:textId="77777777" w:rsidR="008423E4" w:rsidRDefault="001C03A9" w:rsidP="00373D55">
            <w:pPr>
              <w:jc w:val="right"/>
            </w:pPr>
            <w:r>
              <w:t>Committee Report (Substituted)</w:t>
            </w:r>
          </w:p>
        </w:tc>
      </w:tr>
    </w:tbl>
    <w:p w14:paraId="28E09F26" w14:textId="77777777" w:rsidR="008423E4" w:rsidRDefault="008423E4" w:rsidP="00373D55">
      <w:pPr>
        <w:tabs>
          <w:tab w:val="right" w:pos="9360"/>
        </w:tabs>
      </w:pPr>
    </w:p>
    <w:p w14:paraId="4C463FA8" w14:textId="77777777" w:rsidR="008423E4" w:rsidRDefault="008423E4" w:rsidP="00373D55"/>
    <w:p w14:paraId="3E04FB7B" w14:textId="77777777" w:rsidR="008423E4" w:rsidRDefault="008423E4" w:rsidP="00373D5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3142E" w14:paraId="6E19A777" w14:textId="77777777" w:rsidTr="00345119">
        <w:tc>
          <w:tcPr>
            <w:tcW w:w="9576" w:type="dxa"/>
          </w:tcPr>
          <w:p w14:paraId="6030634A" w14:textId="77777777" w:rsidR="008423E4" w:rsidRPr="00A8133F" w:rsidRDefault="001C03A9" w:rsidP="00373D5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B5E0445" w14:textId="77777777" w:rsidR="008423E4" w:rsidRDefault="008423E4" w:rsidP="00373D55"/>
          <w:p w14:paraId="20D6A49C" w14:textId="630796E0" w:rsidR="008423E4" w:rsidRDefault="001C03A9" w:rsidP="00373D5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have been a number of high</w:t>
            </w:r>
            <w:r w:rsidR="00D105ED">
              <w:t>-</w:t>
            </w:r>
            <w:r>
              <w:t>profile incidents of police misconduct in recent yea</w:t>
            </w:r>
            <w:r w:rsidR="00062348">
              <w:t>r</w:t>
            </w:r>
            <w:r>
              <w:t xml:space="preserve">s. Despite the </w:t>
            </w:r>
            <w:r w:rsidR="00062348">
              <w:t>many</w:t>
            </w:r>
            <w:r>
              <w:t xml:space="preserve"> law enforcement officers who serve their communities with distinction and honor, a few unfit officers can </w:t>
            </w:r>
            <w:r w:rsidR="00062348">
              <w:t>tarnish</w:t>
            </w:r>
            <w:r>
              <w:t xml:space="preserve"> the image of the profession. </w:t>
            </w:r>
            <w:r w:rsidR="00C3623F">
              <w:t>It has been suggested that the state should enhance preemployment screening requirements for law enforcement agencies to prevent these bad actors</w:t>
            </w:r>
            <w:r>
              <w:t xml:space="preserve"> </w:t>
            </w:r>
            <w:r w:rsidR="00C3623F">
              <w:t xml:space="preserve">from </w:t>
            </w:r>
            <w:r>
              <w:t xml:space="preserve">bouncing from one law enforcement agency to another. </w:t>
            </w:r>
            <w:r w:rsidR="00C3623F">
              <w:t>C.S.</w:t>
            </w:r>
            <w:r>
              <w:t xml:space="preserve">S.B. 24 </w:t>
            </w:r>
            <w:r w:rsidR="00C3623F">
              <w:t xml:space="preserve">seeks to </w:t>
            </w:r>
            <w:r>
              <w:t>establish</w:t>
            </w:r>
            <w:r w:rsidR="00C3623F">
              <w:t xml:space="preserve"> new preemployment </w:t>
            </w:r>
            <w:r w:rsidR="008A280D">
              <w:t xml:space="preserve">screening </w:t>
            </w:r>
            <w:r>
              <w:t xml:space="preserve">procedures that hold both </w:t>
            </w:r>
            <w:r w:rsidR="00FC0B06">
              <w:t xml:space="preserve">the </w:t>
            </w:r>
            <w:r w:rsidR="00C3623F">
              <w:t xml:space="preserve">law enforcement officer </w:t>
            </w:r>
            <w:r>
              <w:t>appl</w:t>
            </w:r>
            <w:r w:rsidR="00C3623F">
              <w:t>y</w:t>
            </w:r>
            <w:r>
              <w:t>i</w:t>
            </w:r>
            <w:r w:rsidR="00C3623F">
              <w:t>ng</w:t>
            </w:r>
            <w:r>
              <w:t xml:space="preserve"> </w:t>
            </w:r>
            <w:r w:rsidR="00C3623F">
              <w:t xml:space="preserve">for a </w:t>
            </w:r>
            <w:r w:rsidR="00FC0B06">
              <w:t>position</w:t>
            </w:r>
            <w:r w:rsidR="00C3623F">
              <w:t xml:space="preserve"> </w:t>
            </w:r>
            <w:r>
              <w:t xml:space="preserve">and </w:t>
            </w:r>
            <w:r w:rsidR="00C3623F">
              <w:t xml:space="preserve">the hiring </w:t>
            </w:r>
            <w:r>
              <w:t>law enforcem</w:t>
            </w:r>
            <w:r>
              <w:t>ent agenc</w:t>
            </w:r>
            <w:r w:rsidR="00C3623F">
              <w:t>y</w:t>
            </w:r>
            <w:r>
              <w:t xml:space="preserve"> accountable by requiring </w:t>
            </w:r>
            <w:r w:rsidR="00C3623F">
              <w:t xml:space="preserve">the </w:t>
            </w:r>
            <w:r w:rsidR="00FC0B06">
              <w:t xml:space="preserve">agency to </w:t>
            </w:r>
            <w:r>
              <w:t>review pertinent records of prior conduct and activities</w:t>
            </w:r>
            <w:r w:rsidR="00C3623F">
              <w:t xml:space="preserve"> </w:t>
            </w:r>
            <w:r w:rsidR="00C3623F" w:rsidRPr="008A280D">
              <w:t xml:space="preserve">and other </w:t>
            </w:r>
            <w:r w:rsidR="008A280D">
              <w:t>background</w:t>
            </w:r>
            <w:r w:rsidR="00C3623F" w:rsidRPr="008A280D">
              <w:t xml:space="preserve"> information</w:t>
            </w:r>
            <w:r w:rsidR="00C3623F">
              <w:t xml:space="preserve"> about the officer</w:t>
            </w:r>
            <w:r>
              <w:t xml:space="preserve"> before </w:t>
            </w:r>
            <w:r w:rsidR="00C3623F">
              <w:t>the officer</w:t>
            </w:r>
            <w:r>
              <w:t xml:space="preserve"> </w:t>
            </w:r>
            <w:r w:rsidR="00C3623F">
              <w:t xml:space="preserve">may be </w:t>
            </w:r>
            <w:r>
              <w:t xml:space="preserve">hired by </w:t>
            </w:r>
            <w:r w:rsidR="00C3623F">
              <w:t>the</w:t>
            </w:r>
            <w:r>
              <w:t xml:space="preserve"> agency. </w:t>
            </w:r>
          </w:p>
          <w:p w14:paraId="6575AA78" w14:textId="77777777" w:rsidR="008423E4" w:rsidRPr="00E26B13" w:rsidRDefault="008423E4" w:rsidP="00373D55">
            <w:pPr>
              <w:rPr>
                <w:b/>
              </w:rPr>
            </w:pPr>
          </w:p>
        </w:tc>
      </w:tr>
      <w:tr w:rsidR="0063142E" w14:paraId="3830AFC0" w14:textId="77777777" w:rsidTr="00345119">
        <w:tc>
          <w:tcPr>
            <w:tcW w:w="9576" w:type="dxa"/>
          </w:tcPr>
          <w:p w14:paraId="693A7351" w14:textId="77777777" w:rsidR="0017725B" w:rsidRDefault="001C03A9" w:rsidP="00373D5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266EAA2" w14:textId="77777777" w:rsidR="0017725B" w:rsidRDefault="0017725B" w:rsidP="00373D55">
            <w:pPr>
              <w:rPr>
                <w:b/>
                <w:u w:val="single"/>
              </w:rPr>
            </w:pPr>
          </w:p>
          <w:p w14:paraId="4143F429" w14:textId="77777777" w:rsidR="00AA5029" w:rsidRPr="00AA5029" w:rsidRDefault="001C03A9" w:rsidP="00373D55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66FAA249" w14:textId="77777777" w:rsidR="0017725B" w:rsidRPr="0017725B" w:rsidRDefault="0017725B" w:rsidP="00373D55">
            <w:pPr>
              <w:rPr>
                <w:b/>
                <w:u w:val="single"/>
              </w:rPr>
            </w:pPr>
          </w:p>
        </w:tc>
      </w:tr>
      <w:tr w:rsidR="0063142E" w14:paraId="2A5767F5" w14:textId="77777777" w:rsidTr="00345119">
        <w:tc>
          <w:tcPr>
            <w:tcW w:w="9576" w:type="dxa"/>
          </w:tcPr>
          <w:p w14:paraId="3ED31B70" w14:textId="77777777" w:rsidR="008423E4" w:rsidRPr="00A8133F" w:rsidRDefault="001C03A9" w:rsidP="00373D5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14:paraId="43D0647D" w14:textId="77777777" w:rsidR="008423E4" w:rsidRDefault="008423E4" w:rsidP="00373D55"/>
          <w:p w14:paraId="2CABF038" w14:textId="4AB8F127" w:rsidR="00AA5029" w:rsidRDefault="001C03A9" w:rsidP="00373D5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Texas Commission on Law Enforcement in SECTION </w:t>
            </w:r>
            <w:r w:rsidR="00E85E53">
              <w:t>4</w:t>
            </w:r>
            <w:r>
              <w:t xml:space="preserve"> of this bill.</w:t>
            </w:r>
          </w:p>
          <w:p w14:paraId="5B2B61E5" w14:textId="77777777" w:rsidR="008423E4" w:rsidRPr="00E21FDC" w:rsidRDefault="008423E4" w:rsidP="00373D55">
            <w:pPr>
              <w:rPr>
                <w:b/>
              </w:rPr>
            </w:pPr>
          </w:p>
        </w:tc>
      </w:tr>
      <w:tr w:rsidR="0063142E" w14:paraId="398F484D" w14:textId="77777777" w:rsidTr="00345119">
        <w:tc>
          <w:tcPr>
            <w:tcW w:w="9576" w:type="dxa"/>
          </w:tcPr>
          <w:p w14:paraId="763BECB4" w14:textId="77777777" w:rsidR="008423E4" w:rsidRPr="00A8133F" w:rsidRDefault="001C03A9" w:rsidP="00373D5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3F4B943" w14:textId="77777777" w:rsidR="008423E4" w:rsidRDefault="008423E4" w:rsidP="00373D55"/>
          <w:p w14:paraId="0E74338F" w14:textId="12D87142" w:rsidR="009C36CD" w:rsidRDefault="001C03A9" w:rsidP="00373D5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24 amends the Occupations Code to </w:t>
            </w:r>
            <w:r w:rsidR="007C4D09">
              <w:t xml:space="preserve">replace the existing </w:t>
            </w:r>
            <w:r w:rsidR="00AA5029" w:rsidRPr="00A22923">
              <w:t>preemployment</w:t>
            </w:r>
            <w:r w:rsidR="00AA5029">
              <w:t xml:space="preserve"> </w:t>
            </w:r>
            <w:r w:rsidR="008A280D">
              <w:t xml:space="preserve">screening </w:t>
            </w:r>
            <w:r w:rsidR="00B4317D">
              <w:t>procedures</w:t>
            </w:r>
            <w:r w:rsidR="00AA5029">
              <w:t xml:space="preserve"> for </w:t>
            </w:r>
            <w:r>
              <w:t xml:space="preserve">a law enforcement </w:t>
            </w:r>
            <w:r w:rsidR="00BE38B0">
              <w:t xml:space="preserve">agency </w:t>
            </w:r>
            <w:r>
              <w:t xml:space="preserve">hiring </w:t>
            </w:r>
            <w:r w:rsidRPr="00B64F73">
              <w:t xml:space="preserve">a </w:t>
            </w:r>
            <w:r w:rsidR="0002263A" w:rsidRPr="00B64F73">
              <w:t>person licensed</w:t>
            </w:r>
            <w:r w:rsidR="00B64F73">
              <w:t xml:space="preserve"> as a law enforcement officer</w:t>
            </w:r>
            <w:r w:rsidR="0002263A" w:rsidRPr="00B64F73">
              <w:t xml:space="preserve"> </w:t>
            </w:r>
            <w:r w:rsidR="007C4D09" w:rsidRPr="00B64F73">
              <w:t>with new procedures</w:t>
            </w:r>
            <w:r w:rsidR="00A22923">
              <w:t xml:space="preserve"> under which </w:t>
            </w:r>
            <w:r w:rsidR="0095324E">
              <w:t>an</w:t>
            </w:r>
            <w:r w:rsidR="00B84EC4">
              <w:t xml:space="preserve"> agency</w:t>
            </w:r>
            <w:r w:rsidR="00A22923">
              <w:t xml:space="preserve"> is required</w:t>
            </w:r>
            <w:r w:rsidR="00B84EC4">
              <w:t xml:space="preserve"> to </w:t>
            </w:r>
            <w:r w:rsidR="003A2000">
              <w:t>do the following, on a form and in the manner prescribed by the Texas Commission on Law Enforcement (TCOLE</w:t>
            </w:r>
            <w:r w:rsidR="00E85E53">
              <w:t>)</w:t>
            </w:r>
            <w:r w:rsidR="003A2000">
              <w:t xml:space="preserve">, </w:t>
            </w:r>
            <w:r w:rsidR="00B84EC4">
              <w:t>b</w:t>
            </w:r>
            <w:r w:rsidR="00AA5029" w:rsidRPr="0095324E">
              <w:t xml:space="preserve">efore the agency may </w:t>
            </w:r>
            <w:r w:rsidR="003A2000" w:rsidRPr="0095324E">
              <w:t xml:space="preserve">hire </w:t>
            </w:r>
            <w:r w:rsidR="0095324E">
              <w:t>such a person</w:t>
            </w:r>
            <w:r w:rsidRPr="0095324E">
              <w:t>:</w:t>
            </w:r>
          </w:p>
          <w:p w14:paraId="1AEA9DF0" w14:textId="33402622" w:rsidR="00145B34" w:rsidRDefault="001C03A9" w:rsidP="00373D55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obtain the </w:t>
            </w:r>
            <w:r w:rsidR="0095324E">
              <w:t>person's</w:t>
            </w:r>
            <w:r w:rsidR="000C2DE5">
              <w:t xml:space="preserve"> </w:t>
            </w:r>
            <w:r>
              <w:t>written consent for the agency to review the following information</w:t>
            </w:r>
            <w:r w:rsidR="00A22923">
              <w:t xml:space="preserve"> </w:t>
            </w:r>
            <w:r w:rsidR="00B64F73">
              <w:t xml:space="preserve">as </w:t>
            </w:r>
            <w:r w:rsidR="00A22923">
              <w:t xml:space="preserve">related to </w:t>
            </w:r>
            <w:r w:rsidR="00A22923" w:rsidRPr="000C2DE5">
              <w:t xml:space="preserve">the </w:t>
            </w:r>
            <w:r w:rsidR="008F640B">
              <w:t>person</w:t>
            </w:r>
            <w:r>
              <w:t>, as applicable:</w:t>
            </w:r>
          </w:p>
          <w:p w14:paraId="35B9C160" w14:textId="77777777" w:rsidR="00145B34" w:rsidRDefault="001C03A9" w:rsidP="00373D55">
            <w:pPr>
              <w:pStyle w:val="Header"/>
              <w:numPr>
                <w:ilvl w:val="1"/>
                <w:numId w:val="1"/>
              </w:numPr>
              <w:jc w:val="both"/>
            </w:pPr>
            <w:r>
              <w:t>personnel files and other employee records from each previous law</w:t>
            </w:r>
            <w:r>
              <w:t xml:space="preserve"> enforcement agency employer, including the employment application submitted to the previous employer;</w:t>
            </w:r>
          </w:p>
          <w:p w14:paraId="323C5AC4" w14:textId="77777777" w:rsidR="00145B34" w:rsidRDefault="001C03A9" w:rsidP="00373D55">
            <w:pPr>
              <w:pStyle w:val="Header"/>
              <w:numPr>
                <w:ilvl w:val="1"/>
                <w:numId w:val="1"/>
              </w:numPr>
              <w:jc w:val="both"/>
            </w:pPr>
            <w:r>
              <w:t>employment termination reports and service records maintained by TCOLE;</w:t>
            </w:r>
          </w:p>
          <w:p w14:paraId="5072D157" w14:textId="0B982481" w:rsidR="00145B34" w:rsidRDefault="001C03A9" w:rsidP="00373D55">
            <w:pPr>
              <w:pStyle w:val="Header"/>
              <w:numPr>
                <w:ilvl w:val="1"/>
                <w:numId w:val="1"/>
              </w:numPr>
              <w:jc w:val="both"/>
            </w:pPr>
            <w:r>
              <w:t xml:space="preserve">proof that the </w:t>
            </w:r>
            <w:r w:rsidR="007C4D09">
              <w:t>person</w:t>
            </w:r>
            <w:r>
              <w:t xml:space="preserve"> meets certain minimum qualifications for enrollment in a</w:t>
            </w:r>
            <w:r w:rsidR="00A22923">
              <w:t>n applicable</w:t>
            </w:r>
            <w:r>
              <w:t xml:space="preserve"> </w:t>
            </w:r>
            <w:r w:rsidR="007C4D09">
              <w:t xml:space="preserve">TCOLE </w:t>
            </w:r>
            <w:r>
              <w:t>training program;</w:t>
            </w:r>
          </w:p>
          <w:p w14:paraId="5FD5E306" w14:textId="701286C4" w:rsidR="00145B34" w:rsidRDefault="001C03A9" w:rsidP="00373D55">
            <w:pPr>
              <w:pStyle w:val="Header"/>
              <w:numPr>
                <w:ilvl w:val="1"/>
                <w:numId w:val="1"/>
              </w:numPr>
              <w:jc w:val="both"/>
            </w:pPr>
            <w:r>
              <w:t>a military veteran's</w:t>
            </w:r>
            <w:r w:rsidR="007C4D09">
              <w:t xml:space="preserve"> U.S.</w:t>
            </w:r>
            <w:r>
              <w:t xml:space="preserve"> Department of Defense Form DD-214 or other military discharge record;</w:t>
            </w:r>
          </w:p>
          <w:p w14:paraId="2917C90A" w14:textId="77777777" w:rsidR="00BE38B0" w:rsidRDefault="001C03A9" w:rsidP="00373D55">
            <w:pPr>
              <w:pStyle w:val="Header"/>
              <w:numPr>
                <w:ilvl w:val="1"/>
                <w:numId w:val="1"/>
              </w:numPr>
              <w:jc w:val="both"/>
            </w:pPr>
            <w:r>
              <w:t>criminal history record information;</w:t>
            </w:r>
          </w:p>
          <w:p w14:paraId="2B735704" w14:textId="62081994" w:rsidR="00145B34" w:rsidRDefault="001C03A9" w:rsidP="00373D55">
            <w:pPr>
              <w:pStyle w:val="Header"/>
              <w:numPr>
                <w:ilvl w:val="1"/>
                <w:numId w:val="1"/>
              </w:numPr>
              <w:jc w:val="both"/>
            </w:pPr>
            <w:r>
              <w:t>information on pending warrants as available through the Texas Crime Information Center a</w:t>
            </w:r>
            <w:r>
              <w:t>nd the National Crime Information Center;</w:t>
            </w:r>
          </w:p>
          <w:p w14:paraId="02DDF545" w14:textId="6BCA3EEC" w:rsidR="00145B34" w:rsidRDefault="001C03A9" w:rsidP="00373D55">
            <w:pPr>
              <w:pStyle w:val="Header"/>
              <w:numPr>
                <w:ilvl w:val="1"/>
                <w:numId w:val="1"/>
              </w:numPr>
              <w:jc w:val="both"/>
            </w:pPr>
            <w:r>
              <w:t xml:space="preserve">evidence of financial responsibility </w:t>
            </w:r>
            <w:r w:rsidRPr="00AE4FE4">
              <w:t>required</w:t>
            </w:r>
            <w:r>
              <w:t xml:space="preserve"> to operate a motor vehicle and a driving record from the Department of Public Safety;</w:t>
            </w:r>
          </w:p>
          <w:p w14:paraId="1817101E" w14:textId="77777777" w:rsidR="00145B34" w:rsidRDefault="001C03A9" w:rsidP="00373D55">
            <w:pPr>
              <w:pStyle w:val="Header"/>
              <w:numPr>
                <w:ilvl w:val="1"/>
                <w:numId w:val="1"/>
              </w:numPr>
              <w:jc w:val="both"/>
            </w:pPr>
            <w:r>
              <w:t>proof of U.S. citizenship; and</w:t>
            </w:r>
          </w:p>
          <w:p w14:paraId="47D1FD48" w14:textId="5AB45BDE" w:rsidR="002E4525" w:rsidRDefault="001C03A9" w:rsidP="00373D55">
            <w:pPr>
              <w:pStyle w:val="Header"/>
              <w:numPr>
                <w:ilvl w:val="1"/>
                <w:numId w:val="1"/>
              </w:numPr>
              <w:jc w:val="both"/>
            </w:pPr>
            <w:r>
              <w:t xml:space="preserve">information on the </w:t>
            </w:r>
            <w:r w:rsidR="0095324E">
              <w:t>person</w:t>
            </w:r>
            <w:r w:rsidR="0095324E" w:rsidRPr="00AE4FE4">
              <w:t>'s</w:t>
            </w:r>
            <w:r w:rsidR="0095324E">
              <w:t xml:space="preserve"> </w:t>
            </w:r>
            <w:r>
              <w:t>background from at leas</w:t>
            </w:r>
            <w:r>
              <w:t>t three personal references and at least two professional references;</w:t>
            </w:r>
          </w:p>
          <w:p w14:paraId="5DEE8E58" w14:textId="56B79DC5" w:rsidR="002E4525" w:rsidRDefault="001C03A9" w:rsidP="00373D55">
            <w:pPr>
              <w:pStyle w:val="Header"/>
              <w:numPr>
                <w:ilvl w:val="0"/>
                <w:numId w:val="1"/>
              </w:numPr>
              <w:jc w:val="both"/>
            </w:pPr>
            <w:r>
              <w:t>request</w:t>
            </w:r>
            <w:r w:rsidR="000C2DE5">
              <w:t xml:space="preserve"> the specified</w:t>
            </w:r>
            <w:r w:rsidR="00631475">
              <w:t xml:space="preserve"> information</w:t>
            </w:r>
            <w:r>
              <w:t xml:space="preserve"> from TCOLE and any other applicable person; and</w:t>
            </w:r>
          </w:p>
          <w:p w14:paraId="23D7A1FC" w14:textId="5D2C6C3A" w:rsidR="002E4525" w:rsidRDefault="001C03A9" w:rsidP="00373D55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submit to TCOLE confirmation that the agency, to the best of the agency's ability, </w:t>
            </w:r>
            <w:r w:rsidR="00AE4FE4">
              <w:t xml:space="preserve">took </w:t>
            </w:r>
            <w:r>
              <w:t>the following</w:t>
            </w:r>
            <w:r w:rsidR="00AE4FE4">
              <w:t xml:space="preserve"> actions</w:t>
            </w:r>
            <w:r>
              <w:t xml:space="preserve"> before hiring the person:</w:t>
            </w:r>
          </w:p>
          <w:p w14:paraId="226DF61F" w14:textId="2C6666F5" w:rsidR="002E4525" w:rsidRDefault="001C03A9" w:rsidP="00373D55">
            <w:pPr>
              <w:pStyle w:val="Header"/>
              <w:numPr>
                <w:ilvl w:val="1"/>
                <w:numId w:val="1"/>
              </w:numPr>
              <w:jc w:val="both"/>
            </w:pPr>
            <w:r>
              <w:t xml:space="preserve">contacted each entity or individual necessary to obtain the </w:t>
            </w:r>
            <w:r w:rsidR="000C2DE5">
              <w:t xml:space="preserve">specified </w:t>
            </w:r>
            <w:r>
              <w:t>information; and</w:t>
            </w:r>
          </w:p>
          <w:p w14:paraId="6F87D83A" w14:textId="6F887FF8" w:rsidR="002E4525" w:rsidRDefault="001C03A9" w:rsidP="00373D55">
            <w:pPr>
              <w:pStyle w:val="Header"/>
              <w:numPr>
                <w:ilvl w:val="1"/>
                <w:numId w:val="1"/>
              </w:numPr>
              <w:jc w:val="both"/>
            </w:pPr>
            <w:r>
              <w:t>obtained and reviewed the information</w:t>
            </w:r>
            <w:r w:rsidR="00145B34">
              <w:t>.</w:t>
            </w:r>
          </w:p>
          <w:p w14:paraId="08C59C40" w14:textId="77777777" w:rsidR="00B84EC4" w:rsidRDefault="00B84EC4" w:rsidP="00373D55">
            <w:pPr>
              <w:pStyle w:val="Header"/>
              <w:jc w:val="both"/>
            </w:pPr>
          </w:p>
          <w:p w14:paraId="497F2886" w14:textId="608955B5" w:rsidR="00145B34" w:rsidRDefault="001C03A9" w:rsidP="00373D55">
            <w:pPr>
              <w:pStyle w:val="Header"/>
              <w:jc w:val="both"/>
            </w:pPr>
            <w:r>
              <w:t xml:space="preserve">C.S.S.B. 24 requires TCOLE or </w:t>
            </w:r>
            <w:r w:rsidR="00BE38B0">
              <w:t xml:space="preserve">a </w:t>
            </w:r>
            <w:r>
              <w:t>law enforcement agency</w:t>
            </w:r>
            <w:r w:rsidR="00BE38B0">
              <w:t>, on receiving</w:t>
            </w:r>
            <w:r>
              <w:t xml:space="preserve"> an information request </w:t>
            </w:r>
            <w:r w:rsidR="003A2000">
              <w:t xml:space="preserve">from a hiring law enforcement agency </w:t>
            </w:r>
            <w:r>
              <w:t xml:space="preserve">and the </w:t>
            </w:r>
            <w:r w:rsidR="003A2000" w:rsidRPr="00AE4FE4">
              <w:t>person's</w:t>
            </w:r>
            <w:r w:rsidR="00562C68">
              <w:t xml:space="preserve"> </w:t>
            </w:r>
            <w:r>
              <w:t>consent on the forms and in the manner prescribed by TCOLE</w:t>
            </w:r>
            <w:r w:rsidR="00BE38B0">
              <w:t>,</w:t>
            </w:r>
            <w:r>
              <w:t xml:space="preserve"> to provide the </w:t>
            </w:r>
            <w:r w:rsidR="002A79CB">
              <w:t xml:space="preserve">information </w:t>
            </w:r>
            <w:r w:rsidR="003A2000">
              <w:t>to the requesting agency</w:t>
            </w:r>
            <w:r w:rsidR="00D05FD1">
              <w:t>. The bill</w:t>
            </w:r>
            <w:r w:rsidR="002A79CB">
              <w:t xml:space="preserve"> exempts </w:t>
            </w:r>
            <w:r w:rsidR="003A2000">
              <w:t>a law enforcement</w:t>
            </w:r>
            <w:r w:rsidR="002A79CB">
              <w:t xml:space="preserve"> agency, the agency's head, or another law enforcement official from civil liability for making </w:t>
            </w:r>
            <w:r w:rsidR="002A79CB" w:rsidRPr="00D05FD1">
              <w:t>a person's</w:t>
            </w:r>
            <w:r w:rsidR="002A79CB">
              <w:t xml:space="preserve"> information available to </w:t>
            </w:r>
            <w:r w:rsidR="003A2000">
              <w:t>the</w:t>
            </w:r>
            <w:r w:rsidR="002A79CB">
              <w:t xml:space="preserve"> hiring agency. </w:t>
            </w:r>
            <w:r w:rsidRPr="00145B34">
              <w:t xml:space="preserve">If </w:t>
            </w:r>
            <w:r w:rsidRPr="00D05FD1">
              <w:t>an entity or individual</w:t>
            </w:r>
            <w:r>
              <w:t xml:space="preserve"> contacted for information </w:t>
            </w:r>
            <w:r w:rsidRPr="00145B34">
              <w:t>refused to provide the information or did not respond to the request, the</w:t>
            </w:r>
            <w:r w:rsidR="00BE38B0">
              <w:t xml:space="preserve"> </w:t>
            </w:r>
            <w:r w:rsidR="00BE38B0" w:rsidRPr="003B78AA">
              <w:t>hiring agency's</w:t>
            </w:r>
            <w:r w:rsidRPr="00145B34">
              <w:t xml:space="preserve"> confirmation subm</w:t>
            </w:r>
            <w:r w:rsidRPr="00145B34">
              <w:t xml:space="preserve">itted to </w:t>
            </w:r>
            <w:r>
              <w:t>TCOLE</w:t>
            </w:r>
            <w:r w:rsidRPr="00145B34">
              <w:t xml:space="preserve"> must document the manner of the request and the refusal or lack of response.</w:t>
            </w:r>
            <w:r w:rsidR="00171A81">
              <w:t xml:space="preserve"> The bill </w:t>
            </w:r>
            <w:r w:rsidR="003B78AA">
              <w:t xml:space="preserve">establishes that </w:t>
            </w:r>
            <w:r w:rsidR="00171A81">
              <w:t>the confirmation form</w:t>
            </w:r>
            <w:r w:rsidR="003A2000">
              <w:t xml:space="preserve"> submitted to TCOLE</w:t>
            </w:r>
            <w:r w:rsidR="003B78AA">
              <w:t xml:space="preserve"> is not</w:t>
            </w:r>
            <w:r w:rsidR="00171A81">
              <w:t xml:space="preserve"> confidential and </w:t>
            </w:r>
            <w:r w:rsidR="003B78AA">
              <w:t>is subject to</w:t>
            </w:r>
            <w:r w:rsidR="00171A81">
              <w:t xml:space="preserve"> disclosure under state public information law.</w:t>
            </w:r>
          </w:p>
          <w:p w14:paraId="2E427579" w14:textId="77777777" w:rsidR="00171A81" w:rsidRDefault="00171A81" w:rsidP="00373D55">
            <w:pPr>
              <w:pStyle w:val="Header"/>
              <w:jc w:val="both"/>
            </w:pPr>
          </w:p>
          <w:p w14:paraId="46A15FCC" w14:textId="132B0A5D" w:rsidR="00171A81" w:rsidRDefault="001C03A9" w:rsidP="00373D55">
            <w:pPr>
              <w:pStyle w:val="Header"/>
              <w:jc w:val="both"/>
            </w:pPr>
            <w:r>
              <w:t>C.S.S.B. 24</w:t>
            </w:r>
            <w:r>
              <w:t xml:space="preserve"> requires TCOLE to do the following:</w:t>
            </w:r>
          </w:p>
          <w:p w14:paraId="37E501D5" w14:textId="0FA9E157" w:rsidR="00171A81" w:rsidRDefault="001C03A9" w:rsidP="00373D55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by rule </w:t>
            </w:r>
            <w:r w:rsidR="0072783F" w:rsidRPr="00AD42F8">
              <w:t>and not later than January 1, 2022</w:t>
            </w:r>
            <w:r w:rsidR="0072783F">
              <w:t xml:space="preserve">, </w:t>
            </w:r>
            <w:r>
              <w:t>establish the requisite forms and procedures, including:</w:t>
            </w:r>
          </w:p>
          <w:p w14:paraId="6784115B" w14:textId="795C565F" w:rsidR="00171A81" w:rsidRDefault="001C03A9" w:rsidP="00373D55">
            <w:pPr>
              <w:pStyle w:val="Header"/>
              <w:numPr>
                <w:ilvl w:val="1"/>
                <w:numId w:val="2"/>
              </w:numPr>
              <w:jc w:val="both"/>
            </w:pPr>
            <w:r>
              <w:t xml:space="preserve">the process by which a law enforcement agency </w:t>
            </w:r>
            <w:r w:rsidRPr="00A324A6">
              <w:t>makes</w:t>
            </w:r>
            <w:r>
              <w:t xml:space="preserve"> a person's employment records electronically available to </w:t>
            </w:r>
            <w:r w:rsidR="003A2000">
              <w:t>a</w:t>
            </w:r>
            <w:r>
              <w:t xml:space="preserve"> hiring law enforcement agency;</w:t>
            </w:r>
          </w:p>
          <w:p w14:paraId="509ACD1D" w14:textId="2B46DCBF" w:rsidR="00171A81" w:rsidRPr="004507A5" w:rsidRDefault="001C03A9" w:rsidP="00373D55">
            <w:pPr>
              <w:pStyle w:val="Header"/>
              <w:numPr>
                <w:ilvl w:val="1"/>
                <w:numId w:val="2"/>
              </w:numPr>
              <w:jc w:val="both"/>
            </w:pPr>
            <w:r>
              <w:t xml:space="preserve">appropriate privacy and security protections for </w:t>
            </w:r>
            <w:r w:rsidRPr="004507A5">
              <w:t xml:space="preserve">that </w:t>
            </w:r>
            <w:r w:rsidR="00A324A6" w:rsidRPr="004507A5">
              <w:t xml:space="preserve">electronic </w:t>
            </w:r>
            <w:r w:rsidRPr="004507A5">
              <w:t>disclosure process; and</w:t>
            </w:r>
          </w:p>
          <w:p w14:paraId="5DBBB171" w14:textId="4B6172D2" w:rsidR="00171A81" w:rsidRDefault="001C03A9" w:rsidP="00373D55">
            <w:pPr>
              <w:pStyle w:val="Header"/>
              <w:numPr>
                <w:ilvl w:val="1"/>
                <w:numId w:val="2"/>
              </w:numPr>
              <w:jc w:val="both"/>
            </w:pPr>
            <w:r>
              <w:t>a rule prohibiting a confirmation form submitted to TCOLE from containing certain</w:t>
            </w:r>
            <w:r w:rsidR="00BE38B0">
              <w:t xml:space="preserve"> confidential </w:t>
            </w:r>
            <w:r>
              <w:t xml:space="preserve">personal identifying information regarding the </w:t>
            </w:r>
            <w:r w:rsidR="003A2000">
              <w:t>person</w:t>
            </w:r>
            <w:r>
              <w:t xml:space="preserve"> who is the subject of the confirmation form;</w:t>
            </w:r>
          </w:p>
          <w:p w14:paraId="04932913" w14:textId="77777777" w:rsidR="00171A81" w:rsidRDefault="001C03A9" w:rsidP="00373D55">
            <w:pPr>
              <w:pStyle w:val="Header"/>
              <w:numPr>
                <w:ilvl w:val="0"/>
                <w:numId w:val="2"/>
              </w:numPr>
              <w:jc w:val="both"/>
            </w:pPr>
            <w:r>
              <w:t>post the forms and procedures on the TCOLE website; and</w:t>
            </w:r>
          </w:p>
          <w:p w14:paraId="1C9B7C65" w14:textId="77777777" w:rsidR="00171A81" w:rsidRDefault="001C03A9" w:rsidP="00373D55">
            <w:pPr>
              <w:pStyle w:val="Header"/>
              <w:numPr>
                <w:ilvl w:val="0"/>
                <w:numId w:val="2"/>
              </w:numPr>
              <w:jc w:val="both"/>
            </w:pPr>
            <w:r>
              <w:t>retain a record of each submitted confirmation form.</w:t>
            </w:r>
          </w:p>
          <w:p w14:paraId="608EEDF2" w14:textId="77777777" w:rsidR="002879B6" w:rsidRDefault="001C03A9" w:rsidP="00373D55">
            <w:pPr>
              <w:pStyle w:val="Header"/>
              <w:jc w:val="both"/>
            </w:pPr>
            <w:r w:rsidRPr="00171A81">
              <w:t xml:space="preserve">The </w:t>
            </w:r>
            <w:r>
              <w:t xml:space="preserve">bill requires the </w:t>
            </w:r>
            <w:r w:rsidRPr="00171A81">
              <w:t xml:space="preserve">head of a law enforcement </w:t>
            </w:r>
            <w:r w:rsidRPr="00171A81">
              <w:t xml:space="preserve">agency or </w:t>
            </w:r>
            <w:r>
              <w:t>their</w:t>
            </w:r>
            <w:r w:rsidRPr="00171A81">
              <w:t xml:space="preserve"> designee </w:t>
            </w:r>
            <w:r>
              <w:t>to</w:t>
            </w:r>
            <w:r w:rsidRPr="00171A81">
              <w:t xml:space="preserve"> review and sign each confirmation form before submission to </w:t>
            </w:r>
            <w:r>
              <w:t>TCOLE</w:t>
            </w:r>
            <w:r w:rsidR="00B84EC4">
              <w:t xml:space="preserve"> and provides that t</w:t>
            </w:r>
            <w:r w:rsidRPr="00171A81">
              <w:t xml:space="preserve">he failure of an agency head or </w:t>
            </w:r>
            <w:r>
              <w:t>their</w:t>
            </w:r>
            <w:r w:rsidRPr="00171A81">
              <w:t xml:space="preserve"> designee to </w:t>
            </w:r>
            <w:r>
              <w:t>do so</w:t>
            </w:r>
            <w:r w:rsidRPr="00171A81">
              <w:t xml:space="preserve"> constitutes grounds for suspension of the agency head's license</w:t>
            </w:r>
            <w:r>
              <w:t xml:space="preserve">. </w:t>
            </w:r>
          </w:p>
          <w:p w14:paraId="3163ABA1" w14:textId="61AAC47E" w:rsidR="002879B6" w:rsidRDefault="002879B6" w:rsidP="00373D55">
            <w:pPr>
              <w:pStyle w:val="Header"/>
              <w:jc w:val="both"/>
            </w:pPr>
          </w:p>
          <w:p w14:paraId="6F40FF92" w14:textId="747EBB00" w:rsidR="00B4317D" w:rsidRDefault="001C03A9" w:rsidP="00373D55">
            <w:pPr>
              <w:pStyle w:val="Header"/>
              <w:jc w:val="both"/>
            </w:pPr>
            <w:r>
              <w:t>C.S.S.B. 24 amends t</w:t>
            </w:r>
            <w:r>
              <w:t>he Local Government Code to entitle a law enforcement agency hiring a police officer to view the contents of the officer's personnel file maintained by a police department.</w:t>
            </w:r>
          </w:p>
          <w:p w14:paraId="586A23AC" w14:textId="77777777" w:rsidR="00B4317D" w:rsidRDefault="00B4317D" w:rsidP="00373D55">
            <w:pPr>
              <w:pStyle w:val="Header"/>
              <w:jc w:val="both"/>
            </w:pPr>
          </w:p>
          <w:p w14:paraId="13FFF4E7" w14:textId="5B697ED2" w:rsidR="00171A81" w:rsidRDefault="001C03A9" w:rsidP="00373D55">
            <w:pPr>
              <w:pStyle w:val="Header"/>
              <w:jc w:val="both"/>
            </w:pPr>
            <w:r>
              <w:t xml:space="preserve">C.S.S.B. 24 applies only to the hiring of a person by a law enforcement agency on </w:t>
            </w:r>
            <w:r>
              <w:t>or after January 1, 2022.</w:t>
            </w:r>
          </w:p>
          <w:p w14:paraId="793337D2" w14:textId="76815E4B" w:rsidR="00DA573B" w:rsidRDefault="00DA573B" w:rsidP="00373D55">
            <w:pPr>
              <w:pStyle w:val="Header"/>
              <w:jc w:val="both"/>
            </w:pPr>
          </w:p>
          <w:p w14:paraId="5C0B6566" w14:textId="2A1522D6" w:rsidR="00DA573B" w:rsidRPr="009C36CD" w:rsidRDefault="001C03A9" w:rsidP="00373D55">
            <w:pPr>
              <w:pStyle w:val="Header"/>
              <w:jc w:val="both"/>
            </w:pPr>
            <w:r>
              <w:t xml:space="preserve">C.S.S.B. 24 repeals </w:t>
            </w:r>
            <w:r w:rsidRPr="00DA573B">
              <w:t>Section 1701.451(a-1), Occupations Code</w:t>
            </w:r>
            <w:r>
              <w:t>.</w:t>
            </w:r>
          </w:p>
          <w:p w14:paraId="5D62FCF6" w14:textId="77777777" w:rsidR="008423E4" w:rsidRPr="00835628" w:rsidRDefault="008423E4" w:rsidP="00373D55">
            <w:pPr>
              <w:rPr>
                <w:b/>
              </w:rPr>
            </w:pPr>
          </w:p>
        </w:tc>
      </w:tr>
      <w:tr w:rsidR="0063142E" w14:paraId="3A87DEB6" w14:textId="77777777" w:rsidTr="00345119">
        <w:tc>
          <w:tcPr>
            <w:tcW w:w="9576" w:type="dxa"/>
          </w:tcPr>
          <w:p w14:paraId="48D59122" w14:textId="77777777" w:rsidR="008423E4" w:rsidRPr="00A8133F" w:rsidRDefault="001C03A9" w:rsidP="00373D5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42D930D" w14:textId="77777777" w:rsidR="008423E4" w:rsidRDefault="008423E4" w:rsidP="00373D55"/>
          <w:p w14:paraId="236F416D" w14:textId="2FFB3D14" w:rsidR="008423E4" w:rsidRPr="003624F2" w:rsidRDefault="001C03A9" w:rsidP="00373D5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E2DB50E" w14:textId="77777777" w:rsidR="008423E4" w:rsidRPr="00233FDB" w:rsidRDefault="008423E4" w:rsidP="00373D55">
            <w:pPr>
              <w:rPr>
                <w:b/>
              </w:rPr>
            </w:pPr>
          </w:p>
        </w:tc>
      </w:tr>
      <w:tr w:rsidR="0063142E" w14:paraId="1F7F9ECB" w14:textId="77777777" w:rsidTr="00345119">
        <w:tc>
          <w:tcPr>
            <w:tcW w:w="9576" w:type="dxa"/>
          </w:tcPr>
          <w:p w14:paraId="0977B314" w14:textId="77777777" w:rsidR="002E4525" w:rsidRDefault="001C03A9" w:rsidP="00373D5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14:paraId="77FBFD19" w14:textId="77777777" w:rsidR="008A4DC4" w:rsidRDefault="008A4DC4" w:rsidP="00373D55">
            <w:pPr>
              <w:jc w:val="both"/>
            </w:pPr>
          </w:p>
          <w:p w14:paraId="6C639EB3" w14:textId="36480147" w:rsidR="008A4DC4" w:rsidRDefault="001C03A9" w:rsidP="00373D55">
            <w:pPr>
              <w:jc w:val="both"/>
            </w:pPr>
            <w:r>
              <w:t xml:space="preserve">While C.S.S.B. 24 may differ from the engrossed in minor or nonsubstantive ways, </w:t>
            </w:r>
            <w:r>
              <w:t>the following summarizes the substantial differences between the engrossed and committee substitute versions of the bill.</w:t>
            </w:r>
          </w:p>
          <w:p w14:paraId="0365C163" w14:textId="2282C0FF" w:rsidR="008A4DC4" w:rsidRDefault="008A4DC4" w:rsidP="00373D55">
            <w:pPr>
              <w:jc w:val="both"/>
            </w:pPr>
          </w:p>
          <w:p w14:paraId="0D32AFF6" w14:textId="3CD8F19A" w:rsidR="008A4DC4" w:rsidRDefault="001C03A9" w:rsidP="00373D55">
            <w:pPr>
              <w:jc w:val="both"/>
            </w:pPr>
            <w:r>
              <w:t>Whereas the engrossed esta</w:t>
            </w:r>
            <w:r w:rsidR="00AD02BB">
              <w:t>blished</w:t>
            </w:r>
            <w:r>
              <w:t xml:space="preserve"> new preemployment </w:t>
            </w:r>
            <w:r w:rsidR="00E85E53">
              <w:t xml:space="preserve">screening </w:t>
            </w:r>
            <w:r w:rsidR="00AD02BB">
              <w:t>procedures</w:t>
            </w:r>
            <w:r>
              <w:t xml:space="preserve"> only with respect to a licensed law enforcement officer hire</w:t>
            </w:r>
            <w:r>
              <w:t xml:space="preserve">d to fill a peace officer position while retaining the existing </w:t>
            </w:r>
            <w:r w:rsidR="00AD02BB">
              <w:t>procedures</w:t>
            </w:r>
            <w:r>
              <w:t xml:space="preserve"> for all other positions for which an agency may hire a license holder, the substitute instead replaces the existing </w:t>
            </w:r>
            <w:r w:rsidR="00AD02BB">
              <w:t>procedures</w:t>
            </w:r>
            <w:r>
              <w:t xml:space="preserve"> altogether and makes the new </w:t>
            </w:r>
            <w:r w:rsidR="00AD02BB">
              <w:t>procedures established in the engrossed</w:t>
            </w:r>
            <w:r>
              <w:t xml:space="preserve"> applicable to all positions for which a law enforcement agency hires a licensed law enforcement officer. Accordingly, the substitute repeals Section 1701.451(a-1), Occupations Code, whereas the engrossed did not.</w:t>
            </w:r>
          </w:p>
          <w:p w14:paraId="501DBA44" w14:textId="11C94553" w:rsidR="008A4DC4" w:rsidRPr="008A4DC4" w:rsidRDefault="008A4DC4" w:rsidP="00373D55">
            <w:pPr>
              <w:jc w:val="both"/>
            </w:pPr>
          </w:p>
        </w:tc>
      </w:tr>
      <w:tr w:rsidR="0063142E" w14:paraId="368E7DBB" w14:textId="77777777" w:rsidTr="00345119">
        <w:tc>
          <w:tcPr>
            <w:tcW w:w="9576" w:type="dxa"/>
          </w:tcPr>
          <w:p w14:paraId="7DFB8E49" w14:textId="77777777" w:rsidR="002E4525" w:rsidRPr="009C1E9A" w:rsidRDefault="002E4525" w:rsidP="00373D55">
            <w:pPr>
              <w:rPr>
                <w:b/>
                <w:u w:val="single"/>
              </w:rPr>
            </w:pPr>
          </w:p>
        </w:tc>
      </w:tr>
      <w:tr w:rsidR="0063142E" w14:paraId="553B261E" w14:textId="77777777" w:rsidTr="00345119">
        <w:tc>
          <w:tcPr>
            <w:tcW w:w="9576" w:type="dxa"/>
          </w:tcPr>
          <w:p w14:paraId="137A487A" w14:textId="77777777" w:rsidR="002E4525" w:rsidRPr="002E4525" w:rsidRDefault="002E4525" w:rsidP="00373D55">
            <w:pPr>
              <w:jc w:val="both"/>
            </w:pPr>
          </w:p>
        </w:tc>
      </w:tr>
    </w:tbl>
    <w:p w14:paraId="593236C5" w14:textId="77777777" w:rsidR="008423E4" w:rsidRPr="00BE0E75" w:rsidRDefault="008423E4" w:rsidP="00373D55">
      <w:pPr>
        <w:jc w:val="both"/>
        <w:rPr>
          <w:rFonts w:ascii="Arial" w:hAnsi="Arial"/>
          <w:sz w:val="16"/>
          <w:szCs w:val="16"/>
        </w:rPr>
      </w:pPr>
    </w:p>
    <w:p w14:paraId="766C16A7" w14:textId="77777777" w:rsidR="004108C3" w:rsidRPr="008423E4" w:rsidRDefault="004108C3" w:rsidP="00373D55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ADAD9" w14:textId="77777777" w:rsidR="00000000" w:rsidRDefault="001C03A9">
      <w:r>
        <w:separator/>
      </w:r>
    </w:p>
  </w:endnote>
  <w:endnote w:type="continuationSeparator" w:id="0">
    <w:p w14:paraId="54534289" w14:textId="77777777" w:rsidR="00000000" w:rsidRDefault="001C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82B0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3142E" w14:paraId="24648AC3" w14:textId="77777777" w:rsidTr="009C1E9A">
      <w:trPr>
        <w:cantSplit/>
      </w:trPr>
      <w:tc>
        <w:tcPr>
          <w:tcW w:w="0" w:type="pct"/>
        </w:tcPr>
        <w:p w14:paraId="4627FF3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776AE6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F0CB16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4FF9BE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D0CF01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142E" w14:paraId="311B5371" w14:textId="77777777" w:rsidTr="009C1E9A">
      <w:trPr>
        <w:cantSplit/>
      </w:trPr>
      <w:tc>
        <w:tcPr>
          <w:tcW w:w="0" w:type="pct"/>
        </w:tcPr>
        <w:p w14:paraId="402C28F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92D5D0E" w14:textId="77777777" w:rsidR="00EC379B" w:rsidRPr="009C1E9A" w:rsidRDefault="001C03A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26547</w:t>
          </w:r>
        </w:p>
      </w:tc>
      <w:tc>
        <w:tcPr>
          <w:tcW w:w="2453" w:type="pct"/>
        </w:tcPr>
        <w:p w14:paraId="5C57D88C" w14:textId="4AAF6EFB" w:rsidR="00EC379B" w:rsidRDefault="001C03A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276DC">
            <w:t>21.133.233</w:t>
          </w:r>
          <w:r>
            <w:fldChar w:fldCharType="end"/>
          </w:r>
        </w:p>
      </w:tc>
    </w:tr>
    <w:tr w:rsidR="0063142E" w14:paraId="6ABA7B74" w14:textId="77777777" w:rsidTr="009C1E9A">
      <w:trPr>
        <w:cantSplit/>
      </w:trPr>
      <w:tc>
        <w:tcPr>
          <w:tcW w:w="0" w:type="pct"/>
        </w:tcPr>
        <w:p w14:paraId="005CF51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9322695" w14:textId="77777777" w:rsidR="00EC379B" w:rsidRPr="009C1E9A" w:rsidRDefault="001C03A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23916</w:t>
          </w:r>
        </w:p>
      </w:tc>
      <w:tc>
        <w:tcPr>
          <w:tcW w:w="2453" w:type="pct"/>
        </w:tcPr>
        <w:p w14:paraId="63FEC55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FE5B76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142E" w14:paraId="6761A0A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F1F0D73" w14:textId="59E1B1FC" w:rsidR="00EC379B" w:rsidRDefault="001C03A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73D55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14:paraId="3553B55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75D07C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7A1A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C5957" w14:textId="77777777" w:rsidR="00000000" w:rsidRDefault="001C03A9">
      <w:r>
        <w:separator/>
      </w:r>
    </w:p>
  </w:footnote>
  <w:footnote w:type="continuationSeparator" w:id="0">
    <w:p w14:paraId="361D602B" w14:textId="77777777" w:rsidR="00000000" w:rsidRDefault="001C0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B424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CBD7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60C57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9593D"/>
    <w:multiLevelType w:val="hybridMultilevel"/>
    <w:tmpl w:val="A25E99E4"/>
    <w:lvl w:ilvl="0" w:tplc="5E266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12A3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2CE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3277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0208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94A9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7076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D418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EE46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F2E68"/>
    <w:multiLevelType w:val="hybridMultilevel"/>
    <w:tmpl w:val="17986EA0"/>
    <w:lvl w:ilvl="0" w:tplc="76C49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7E85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02E1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707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A83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E423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0E4D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7AF5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74F8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2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263A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2348"/>
    <w:rsid w:val="00064BF2"/>
    <w:rsid w:val="000667BA"/>
    <w:rsid w:val="000675B5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2DE5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3EF5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185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5B34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A81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03A9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2F14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2AE4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879B6"/>
    <w:rsid w:val="00291518"/>
    <w:rsid w:val="00296FF0"/>
    <w:rsid w:val="002A17C0"/>
    <w:rsid w:val="002A48DF"/>
    <w:rsid w:val="002A5A84"/>
    <w:rsid w:val="002A6E6F"/>
    <w:rsid w:val="002A74E4"/>
    <w:rsid w:val="002A79CB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7807"/>
    <w:rsid w:val="002E21B8"/>
    <w:rsid w:val="002E4525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69A2"/>
    <w:rsid w:val="0031741B"/>
    <w:rsid w:val="00320CB1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3D5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2000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8AA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7A5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1677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07F6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68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236D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42E"/>
    <w:rsid w:val="00631475"/>
    <w:rsid w:val="00631897"/>
    <w:rsid w:val="00632928"/>
    <w:rsid w:val="006330DA"/>
    <w:rsid w:val="00633262"/>
    <w:rsid w:val="00633460"/>
    <w:rsid w:val="00637467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83F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4D09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6D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280D"/>
    <w:rsid w:val="008A3188"/>
    <w:rsid w:val="008A3FDF"/>
    <w:rsid w:val="008A4DC4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118E"/>
    <w:rsid w:val="008E3338"/>
    <w:rsid w:val="008E47BE"/>
    <w:rsid w:val="008F09DF"/>
    <w:rsid w:val="008F3053"/>
    <w:rsid w:val="008F3136"/>
    <w:rsid w:val="008F40DF"/>
    <w:rsid w:val="008F5E16"/>
    <w:rsid w:val="008F5EFC"/>
    <w:rsid w:val="008F640B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24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365E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36B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2923"/>
    <w:rsid w:val="00A232E4"/>
    <w:rsid w:val="00A24AAD"/>
    <w:rsid w:val="00A26A8A"/>
    <w:rsid w:val="00A27255"/>
    <w:rsid w:val="00A32304"/>
    <w:rsid w:val="00A324A6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029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02BB"/>
    <w:rsid w:val="00AD304B"/>
    <w:rsid w:val="00AD42F8"/>
    <w:rsid w:val="00AD4497"/>
    <w:rsid w:val="00AD7780"/>
    <w:rsid w:val="00AE2263"/>
    <w:rsid w:val="00AE248E"/>
    <w:rsid w:val="00AE2D12"/>
    <w:rsid w:val="00AE2F06"/>
    <w:rsid w:val="00AE4F1C"/>
    <w:rsid w:val="00AE4FE4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17D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4F73"/>
    <w:rsid w:val="00B65695"/>
    <w:rsid w:val="00B66526"/>
    <w:rsid w:val="00B665A3"/>
    <w:rsid w:val="00B73BB4"/>
    <w:rsid w:val="00B80532"/>
    <w:rsid w:val="00B82039"/>
    <w:rsid w:val="00B82454"/>
    <w:rsid w:val="00B84EC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8B0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623F"/>
    <w:rsid w:val="00C377D1"/>
    <w:rsid w:val="00C37BDA"/>
    <w:rsid w:val="00C37C84"/>
    <w:rsid w:val="00C42B41"/>
    <w:rsid w:val="00C46166"/>
    <w:rsid w:val="00C46C5E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5FD1"/>
    <w:rsid w:val="00D060A8"/>
    <w:rsid w:val="00D06605"/>
    <w:rsid w:val="00D0720F"/>
    <w:rsid w:val="00D074E2"/>
    <w:rsid w:val="00D105ED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573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2C1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5E53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0B06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969DCE-96B7-4F3E-92E7-523876A7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D78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78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780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7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7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957</Words>
  <Characters>5339</Characters>
  <Application>Microsoft Office Word</Application>
  <DocSecurity>4</DocSecurity>
  <Lines>123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SB00024 (Committee Report (Substituted))</vt:lpstr>
    </vt:vector>
  </TitlesOfParts>
  <Company>State of Texas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26547</dc:subject>
  <dc:creator>State of Texas</dc:creator>
  <dc:description>SB 24 by Huffman-(H)Homeland Security &amp; Public Safety (Substitute Document Number: 87R 23916)</dc:description>
  <cp:lastModifiedBy>Damian Duarte</cp:lastModifiedBy>
  <cp:revision>2</cp:revision>
  <cp:lastPrinted>2003-11-26T17:21:00Z</cp:lastPrinted>
  <dcterms:created xsi:type="dcterms:W3CDTF">2021-05-13T20:18:00Z</dcterms:created>
  <dcterms:modified xsi:type="dcterms:W3CDTF">2021-05-13T20:18:00Z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21.133.233</vt:lpwstr>
  </property>
</Properties>
</file>