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C370B" w14:paraId="178E96FC" w14:textId="77777777" w:rsidTr="001656F4">
        <w:tc>
          <w:tcPr>
            <w:tcW w:w="9576" w:type="dxa"/>
            <w:noWrap/>
          </w:tcPr>
          <w:p w14:paraId="2BC09E88" w14:textId="77777777" w:rsidR="008423E4" w:rsidRPr="0022177D" w:rsidRDefault="006509CF" w:rsidP="00DA25E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442F146" w14:textId="77777777" w:rsidR="008423E4" w:rsidRPr="0022177D" w:rsidRDefault="008423E4" w:rsidP="00DA25ED">
      <w:pPr>
        <w:jc w:val="center"/>
      </w:pPr>
    </w:p>
    <w:p w14:paraId="272EFF52" w14:textId="77777777" w:rsidR="008423E4" w:rsidRPr="00B31F0E" w:rsidRDefault="008423E4" w:rsidP="00DA25ED"/>
    <w:p w14:paraId="5105AE0D" w14:textId="77777777" w:rsidR="008423E4" w:rsidRPr="00742794" w:rsidRDefault="008423E4" w:rsidP="00DA25E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C370B" w14:paraId="43E9B226" w14:textId="77777777" w:rsidTr="001656F4">
        <w:tc>
          <w:tcPr>
            <w:tcW w:w="9576" w:type="dxa"/>
          </w:tcPr>
          <w:p w14:paraId="61F30A94" w14:textId="77777777" w:rsidR="008423E4" w:rsidRPr="00861995" w:rsidRDefault="006509CF" w:rsidP="00DA25ED">
            <w:pPr>
              <w:jc w:val="right"/>
            </w:pPr>
            <w:r>
              <w:t>S.B. 40</w:t>
            </w:r>
          </w:p>
        </w:tc>
      </w:tr>
      <w:tr w:rsidR="009C370B" w14:paraId="57824E1C" w14:textId="77777777" w:rsidTr="001656F4">
        <w:tc>
          <w:tcPr>
            <w:tcW w:w="9576" w:type="dxa"/>
          </w:tcPr>
          <w:p w14:paraId="7764223C" w14:textId="77777777" w:rsidR="008423E4" w:rsidRPr="00861995" w:rsidRDefault="006509CF" w:rsidP="00DA25ED">
            <w:pPr>
              <w:jc w:val="right"/>
            </w:pPr>
            <w:r>
              <w:t xml:space="preserve">By: </w:t>
            </w:r>
            <w:r w:rsidR="003A7B7A">
              <w:t>Zaffirini</w:t>
            </w:r>
          </w:p>
        </w:tc>
      </w:tr>
      <w:tr w:rsidR="009C370B" w14:paraId="11D7EB2E" w14:textId="77777777" w:rsidTr="001656F4">
        <w:tc>
          <w:tcPr>
            <w:tcW w:w="9576" w:type="dxa"/>
          </w:tcPr>
          <w:p w14:paraId="3CFB5AD1" w14:textId="77777777" w:rsidR="008423E4" w:rsidRPr="00861995" w:rsidRDefault="006509CF" w:rsidP="00DA25ED">
            <w:pPr>
              <w:jc w:val="right"/>
            </w:pPr>
            <w:r>
              <w:t>Public Health</w:t>
            </w:r>
          </w:p>
        </w:tc>
      </w:tr>
      <w:tr w:rsidR="009C370B" w14:paraId="1B836A32" w14:textId="77777777" w:rsidTr="001656F4">
        <w:tc>
          <w:tcPr>
            <w:tcW w:w="9576" w:type="dxa"/>
          </w:tcPr>
          <w:p w14:paraId="236602BA" w14:textId="77777777" w:rsidR="008423E4" w:rsidRDefault="006509CF" w:rsidP="00DA25ED">
            <w:pPr>
              <w:jc w:val="right"/>
            </w:pPr>
            <w:r>
              <w:t>Committee Report (Unamended)</w:t>
            </w:r>
          </w:p>
        </w:tc>
      </w:tr>
    </w:tbl>
    <w:p w14:paraId="1B8DC4BA" w14:textId="77777777" w:rsidR="008423E4" w:rsidRDefault="008423E4" w:rsidP="00DA25ED">
      <w:pPr>
        <w:tabs>
          <w:tab w:val="right" w:pos="9360"/>
        </w:tabs>
      </w:pPr>
    </w:p>
    <w:p w14:paraId="28C0CEC4" w14:textId="77777777" w:rsidR="008423E4" w:rsidRDefault="008423E4" w:rsidP="00DA25ED"/>
    <w:p w14:paraId="07C8FBB7" w14:textId="77777777" w:rsidR="008423E4" w:rsidRDefault="008423E4" w:rsidP="00DA25E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C370B" w14:paraId="46F58854" w14:textId="77777777" w:rsidTr="001656F4">
        <w:tc>
          <w:tcPr>
            <w:tcW w:w="9576" w:type="dxa"/>
          </w:tcPr>
          <w:p w14:paraId="446D4C09" w14:textId="77777777" w:rsidR="008423E4" w:rsidRPr="00A8133F" w:rsidRDefault="006509CF" w:rsidP="00DA25E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00AC3B9" w14:textId="77777777" w:rsidR="008423E4" w:rsidRDefault="008423E4" w:rsidP="00DA25ED"/>
          <w:p w14:paraId="315D3E8E" w14:textId="3C68C145" w:rsidR="00E85540" w:rsidRDefault="006509CF" w:rsidP="00DA25ED">
            <w:pPr>
              <w:jc w:val="both"/>
            </w:pPr>
            <w:r w:rsidRPr="00E85540">
              <w:t xml:space="preserve">During the COVID-19 pandemic, </w:t>
            </w:r>
            <w:r w:rsidR="001A03E6">
              <w:t>the Texas Department of Licensing and Regulation (</w:t>
            </w:r>
            <w:r w:rsidRPr="00E85540">
              <w:t>TDLR</w:t>
            </w:r>
            <w:r w:rsidR="001A03E6">
              <w:t>)</w:t>
            </w:r>
            <w:r w:rsidRPr="00E85540">
              <w:t xml:space="preserve"> requested and</w:t>
            </w:r>
            <w:r w:rsidR="001A03E6">
              <w:t xml:space="preserve"> received</w:t>
            </w:r>
            <w:r w:rsidRPr="00E85540">
              <w:t xml:space="preserve"> waivers to allow services to be provided through telehealth by certain TDLR</w:t>
            </w:r>
            <w:r w:rsidR="00C740F2">
              <w:t>-</w:t>
            </w:r>
            <w:r w:rsidRPr="00E85540">
              <w:t>regulated health professions. Specific TDLR health professions for which waivers were issued include speech language pathologists and audiologists, behavior analysts, dyslexia the</w:t>
            </w:r>
            <w:r w:rsidRPr="00E85540">
              <w:t xml:space="preserve">rapists and practitioners, hearing instrument fitters and dispensers, and orthotists and prosthetists. These waivers allowed for continuity of care and </w:t>
            </w:r>
            <w:r w:rsidR="00C740F2">
              <w:t>for the completion of</w:t>
            </w:r>
            <w:r w:rsidRPr="00E85540">
              <w:t xml:space="preserve"> continuing education requirements during </w:t>
            </w:r>
            <w:r w:rsidR="00C740F2">
              <w:t>"</w:t>
            </w:r>
            <w:r w:rsidR="00C740F2" w:rsidRPr="00C740F2">
              <w:t>s</w:t>
            </w:r>
            <w:r w:rsidR="00C740F2">
              <w:t xml:space="preserve">tay home, </w:t>
            </w:r>
            <w:r w:rsidR="00C740F2" w:rsidRPr="00C740F2">
              <w:t>work safe</w:t>
            </w:r>
            <w:r w:rsidR="00C740F2">
              <w:t>"</w:t>
            </w:r>
            <w:r w:rsidRPr="00C740F2">
              <w:t xml:space="preserve"> orders</w:t>
            </w:r>
            <w:r w:rsidRPr="00E85540">
              <w:t>.</w:t>
            </w:r>
            <w:r w:rsidR="001A03E6">
              <w:t xml:space="preserve"> </w:t>
            </w:r>
            <w:r w:rsidRPr="00E85540">
              <w:t>S</w:t>
            </w:r>
            <w:r w:rsidR="001A03E6">
              <w:t>.</w:t>
            </w:r>
            <w:r w:rsidRPr="00E85540">
              <w:t>B</w:t>
            </w:r>
            <w:r w:rsidR="001A03E6">
              <w:t>.</w:t>
            </w:r>
            <w:r w:rsidRPr="00E85540">
              <w:t xml:space="preserve"> 40 se</w:t>
            </w:r>
            <w:r w:rsidRPr="00E85540">
              <w:t>eks to clarify the authority of TDLR-regulated health professionals to provide telehealth services</w:t>
            </w:r>
            <w:r>
              <w:t>.</w:t>
            </w:r>
          </w:p>
          <w:p w14:paraId="214DF67B" w14:textId="77777777" w:rsidR="008423E4" w:rsidRPr="00E26B13" w:rsidRDefault="008423E4" w:rsidP="00DA25ED">
            <w:pPr>
              <w:rPr>
                <w:b/>
              </w:rPr>
            </w:pPr>
          </w:p>
        </w:tc>
      </w:tr>
      <w:tr w:rsidR="009C370B" w14:paraId="312A33C4" w14:textId="77777777" w:rsidTr="001656F4">
        <w:tc>
          <w:tcPr>
            <w:tcW w:w="9576" w:type="dxa"/>
          </w:tcPr>
          <w:p w14:paraId="547BC878" w14:textId="77777777" w:rsidR="0017725B" w:rsidRDefault="006509CF" w:rsidP="00DA25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BC68826" w14:textId="77777777" w:rsidR="0017725B" w:rsidRDefault="0017725B" w:rsidP="00DA25ED">
            <w:pPr>
              <w:rPr>
                <w:b/>
                <w:u w:val="single"/>
              </w:rPr>
            </w:pPr>
          </w:p>
          <w:p w14:paraId="181A996F" w14:textId="6CB277C4" w:rsidR="00E85540" w:rsidRPr="00E85540" w:rsidRDefault="006509CF" w:rsidP="00DA25ED">
            <w:pPr>
              <w:jc w:val="both"/>
            </w:pPr>
            <w:r>
              <w:t>It is the committee's opinion that this bill does not expressly create a criminal offense, increase the punishment for an existin</w:t>
            </w:r>
            <w:r>
              <w:t>g criminal offense or category of offenses, or change the eligibility of a person for community supervision, parole, or mandatory supervision.</w:t>
            </w:r>
          </w:p>
          <w:p w14:paraId="196E2265" w14:textId="77777777" w:rsidR="0017725B" w:rsidRPr="0017725B" w:rsidRDefault="0017725B" w:rsidP="00DA25ED">
            <w:pPr>
              <w:rPr>
                <w:b/>
                <w:u w:val="single"/>
              </w:rPr>
            </w:pPr>
          </w:p>
        </w:tc>
      </w:tr>
      <w:tr w:rsidR="009C370B" w14:paraId="1830AC53" w14:textId="77777777" w:rsidTr="001656F4">
        <w:tc>
          <w:tcPr>
            <w:tcW w:w="9576" w:type="dxa"/>
          </w:tcPr>
          <w:p w14:paraId="3B10AD16" w14:textId="77777777" w:rsidR="008423E4" w:rsidRPr="00A8133F" w:rsidRDefault="006509CF" w:rsidP="00DA25E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9CCF864" w14:textId="77777777" w:rsidR="008423E4" w:rsidRDefault="008423E4" w:rsidP="00DA25ED"/>
          <w:p w14:paraId="2AEA6DE2" w14:textId="272645B6" w:rsidR="00E85540" w:rsidRDefault="006509CF" w:rsidP="00DA25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</w:t>
            </w:r>
            <w:r w:rsidR="00E15FCE">
              <w:t xml:space="preserve">essly granted to the </w:t>
            </w:r>
            <w:r w:rsidR="00E15FCE" w:rsidRPr="00E15FCE">
              <w:t>Texas Commission of Licensing and Regulation</w:t>
            </w:r>
            <w:r w:rsidR="00E15FCE">
              <w:t xml:space="preserve"> in SECTION 1</w:t>
            </w:r>
            <w:r>
              <w:t xml:space="preserve"> of this bill.</w:t>
            </w:r>
          </w:p>
          <w:p w14:paraId="1E2F5084" w14:textId="77777777" w:rsidR="008423E4" w:rsidRPr="00E21FDC" w:rsidRDefault="008423E4" w:rsidP="00DA25ED">
            <w:pPr>
              <w:rPr>
                <w:b/>
              </w:rPr>
            </w:pPr>
          </w:p>
        </w:tc>
      </w:tr>
      <w:tr w:rsidR="009C370B" w14:paraId="19C3A914" w14:textId="77777777" w:rsidTr="001656F4">
        <w:tc>
          <w:tcPr>
            <w:tcW w:w="9576" w:type="dxa"/>
          </w:tcPr>
          <w:p w14:paraId="1E4FB3DC" w14:textId="77777777" w:rsidR="008423E4" w:rsidRPr="00A8133F" w:rsidRDefault="006509CF" w:rsidP="00DA25E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2B3D23D" w14:textId="77777777" w:rsidR="008423E4" w:rsidRDefault="008423E4" w:rsidP="00DA25ED"/>
          <w:p w14:paraId="77956DC3" w14:textId="1880E67E" w:rsidR="009C36CD" w:rsidRDefault="006509CF" w:rsidP="00DA25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40</w:t>
            </w:r>
            <w:r w:rsidR="00E33BDF">
              <w:t xml:space="preserve"> amends the Occupations Code to authorize </w:t>
            </w:r>
            <w:r w:rsidR="00E33BDF" w:rsidRPr="00C740F2">
              <w:t>a health professional</w:t>
            </w:r>
            <w:r w:rsidR="00C740F2">
              <w:t xml:space="preserve"> licensed by the Texas Department of Licensing and Regulation (TDLR)</w:t>
            </w:r>
            <w:r w:rsidR="00E33BDF" w:rsidRPr="00C740F2">
              <w:t xml:space="preserve"> to</w:t>
            </w:r>
            <w:r w:rsidR="00E33BDF" w:rsidRPr="00E33BDF">
              <w:t xml:space="preserve"> provide telehealth </w:t>
            </w:r>
            <w:r w:rsidR="00E33BDF" w:rsidRPr="00C740F2">
              <w:t xml:space="preserve">services in accordance with </w:t>
            </w:r>
            <w:r w:rsidR="00C740F2">
              <w:t>statutory</w:t>
            </w:r>
            <w:r w:rsidR="00E33BDF" w:rsidRPr="00C740F2">
              <w:t xml:space="preserve"> provisions </w:t>
            </w:r>
            <w:r w:rsidR="00C740F2">
              <w:t xml:space="preserve">governing such services </w:t>
            </w:r>
            <w:r w:rsidR="00E33BDF" w:rsidRPr="00C740F2">
              <w:t>and any requirements</w:t>
            </w:r>
            <w:r w:rsidR="00E33BDF" w:rsidRPr="00E33BDF">
              <w:t xml:space="preserve"> imposed by the law and rules governing practice by the health professional.</w:t>
            </w:r>
            <w:r w:rsidR="00E33BDF">
              <w:t xml:space="preserve"> </w:t>
            </w:r>
            <w:r w:rsidR="00E33BDF" w:rsidRPr="00E33BDF">
              <w:t>Unless the context indicates o</w:t>
            </w:r>
            <w:r w:rsidR="00E33BDF">
              <w:t xml:space="preserve">therwise, a </w:t>
            </w:r>
            <w:r w:rsidR="00E33BDF" w:rsidRPr="00C740F2">
              <w:t xml:space="preserve">reference </w:t>
            </w:r>
            <w:r w:rsidR="00E33BDF" w:rsidRPr="00272B5D">
              <w:t xml:space="preserve">in </w:t>
            </w:r>
            <w:r w:rsidR="00C740F2">
              <w:t xml:space="preserve">statutory </w:t>
            </w:r>
            <w:r w:rsidR="00E33BDF" w:rsidRPr="00272B5D">
              <w:t>provisions</w:t>
            </w:r>
            <w:r w:rsidR="00E33BDF" w:rsidRPr="00C740F2">
              <w:t xml:space="preserve"> </w:t>
            </w:r>
            <w:r w:rsidR="00C740F2">
              <w:t>governing</w:t>
            </w:r>
            <w:r w:rsidR="00E33BDF">
              <w:t xml:space="preserve"> health professionals</w:t>
            </w:r>
            <w:r w:rsidR="00C740F2">
              <w:t>,</w:t>
            </w:r>
            <w:r w:rsidR="00E33BDF" w:rsidRPr="00E33BDF">
              <w:t xml:space="preserve"> or</w:t>
            </w:r>
            <w:r w:rsidR="00E33BDF">
              <w:t xml:space="preserve"> </w:t>
            </w:r>
            <w:r w:rsidR="00C740F2">
              <w:t xml:space="preserve">in </w:t>
            </w:r>
            <w:r w:rsidR="00E33BDF">
              <w:t>a rule adopted under those provisions</w:t>
            </w:r>
            <w:r w:rsidR="00C740F2">
              <w:t>,</w:t>
            </w:r>
            <w:r w:rsidR="00E33BDF" w:rsidRPr="00E33BDF">
              <w:t xml:space="preserve"> to direct observation of a patient by a health professional or direct care or services provided to a patient by a health professional includes the provision of that observation, care, or service using telehealth services.</w:t>
            </w:r>
          </w:p>
          <w:p w14:paraId="3AA0B891" w14:textId="77777777" w:rsidR="00E33BDF" w:rsidRDefault="00E33BDF" w:rsidP="00DA25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2D56DB7" w14:textId="77777777" w:rsidR="00E33BDF" w:rsidRDefault="006509CF" w:rsidP="00DA25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40 authorizes </w:t>
            </w:r>
            <w:r w:rsidRPr="00E33BDF">
              <w:t xml:space="preserve">the Texas </w:t>
            </w:r>
            <w:r w:rsidRPr="00C740F2">
              <w:t>Commission of Licensing</w:t>
            </w:r>
            <w:r w:rsidRPr="00E33BDF">
              <w:t xml:space="preserve"> and Regulation</w:t>
            </w:r>
            <w:r>
              <w:t xml:space="preserve"> (TCLR) </w:t>
            </w:r>
            <w:r w:rsidR="00822CD2">
              <w:t>to adopt rules necessary to do the following:</w:t>
            </w:r>
          </w:p>
          <w:p w14:paraId="10DED38F" w14:textId="77777777" w:rsidR="00822CD2" w:rsidRDefault="006509CF" w:rsidP="00DA25E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822CD2">
              <w:t>ensure that patients receiving telehealth services receive appropriate, quality care;</w:t>
            </w:r>
          </w:p>
          <w:p w14:paraId="4F66D2C4" w14:textId="77777777" w:rsidR="00822CD2" w:rsidRDefault="006509CF" w:rsidP="00DA25E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822CD2">
              <w:t>prevent abuse a</w:t>
            </w:r>
            <w:r w:rsidRPr="00822CD2">
              <w:t>nd fraud in the use of telehealth services, including rules relating to the filing of claims and records required to be maintained in connection with telehealth services;</w:t>
            </w:r>
          </w:p>
          <w:p w14:paraId="36B07D6C" w14:textId="76CE356D" w:rsidR="00822CD2" w:rsidRDefault="006509CF" w:rsidP="00DA25E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822CD2">
              <w:t>implement</w:t>
            </w:r>
            <w:r>
              <w:t xml:space="preserve"> the requirements of </w:t>
            </w:r>
            <w:r w:rsidR="00C740F2">
              <w:t>state law</w:t>
            </w:r>
            <w:r>
              <w:t xml:space="preserve"> </w:t>
            </w:r>
            <w:r w:rsidRPr="00822CD2">
              <w:t xml:space="preserve">regarding the provision of telehealth </w:t>
            </w:r>
            <w:r w:rsidRPr="00822CD2">
              <w:t>services or the protection of patients receiving telehealth services;</w:t>
            </w:r>
          </w:p>
          <w:p w14:paraId="2BC8785E" w14:textId="77777777" w:rsidR="00822CD2" w:rsidRDefault="006509CF" w:rsidP="00DA25E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822CD2">
              <w:t>provide for the remote supervision of assistants and other authorized persons performing duties within their existing scope of practice using telecommunications or information technology</w:t>
            </w:r>
            <w:r w:rsidRPr="00822CD2">
              <w:t>; and</w:t>
            </w:r>
            <w:r>
              <w:t xml:space="preserve"> </w:t>
            </w:r>
          </w:p>
          <w:p w14:paraId="44BE89B6" w14:textId="77777777" w:rsidR="00822CD2" w:rsidRDefault="006509CF" w:rsidP="00DA25E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822CD2">
              <w:t>provide for the remote supervision of experience for apprentices, interns, or other similar trainees using telecommunications or information technology.</w:t>
            </w:r>
          </w:p>
          <w:p w14:paraId="5CB5E39B" w14:textId="567C2820" w:rsidR="00857427" w:rsidRDefault="006509CF" w:rsidP="00DA25ED">
            <w:pPr>
              <w:pStyle w:val="Header"/>
              <w:jc w:val="both"/>
            </w:pPr>
            <w:r>
              <w:t>The rules may allow for the provision of remote education or distance learning for public or pri</w:t>
            </w:r>
            <w:r>
              <w:t xml:space="preserve">vate schools and </w:t>
            </w:r>
            <w:r w:rsidR="00C740F2">
              <w:t xml:space="preserve">the provision of </w:t>
            </w:r>
            <w:r>
              <w:t xml:space="preserve">continuing education using telecommunications or information technology. </w:t>
            </w:r>
            <w:r w:rsidRPr="00C740F2">
              <w:t>The bill subjects the</w:t>
            </w:r>
            <w:r w:rsidR="00C740F2">
              <w:t xml:space="preserve"> adoption of the</w:t>
            </w:r>
            <w:r w:rsidRPr="00C740F2">
              <w:t xml:space="preserve"> rules to </w:t>
            </w:r>
            <w:r w:rsidR="00C740F2">
              <w:t xml:space="preserve">statutory </w:t>
            </w:r>
            <w:r w:rsidRPr="00C740F2">
              <w:t xml:space="preserve">provisions relating to </w:t>
            </w:r>
            <w:r w:rsidR="00C740F2" w:rsidRPr="00C740F2">
              <w:t>the role of advisory boards in TCLR rulemaking for health-related professions</w:t>
            </w:r>
            <w:r>
              <w:t xml:space="preserve">. The bill prohibits its provisions </w:t>
            </w:r>
            <w:r w:rsidRPr="00C740F2">
              <w:t xml:space="preserve">relating to </w:t>
            </w:r>
            <w:r w:rsidR="00C740F2">
              <w:t xml:space="preserve">the provision of telehealth services by TDLR-licensed health professionals </w:t>
            </w:r>
            <w:r>
              <w:t xml:space="preserve">from being interpreted to expand the scope of practice of a health professional or </w:t>
            </w:r>
            <w:r w:rsidR="00C740F2">
              <w:t xml:space="preserve">to </w:t>
            </w:r>
            <w:r>
              <w:t>authorize a practice or procedure other</w:t>
            </w:r>
            <w:r>
              <w:t>wise prohibited by the law or rules governing a health professional.</w:t>
            </w:r>
          </w:p>
          <w:p w14:paraId="48E99F01" w14:textId="77777777" w:rsidR="000E6F53" w:rsidRDefault="000E6F53" w:rsidP="00DA25ED">
            <w:pPr>
              <w:pStyle w:val="Header"/>
              <w:jc w:val="both"/>
            </w:pPr>
          </w:p>
          <w:p w14:paraId="4585C035" w14:textId="405753BD" w:rsidR="000E6F53" w:rsidRDefault="006509CF" w:rsidP="00DA25ED">
            <w:pPr>
              <w:pStyle w:val="Header"/>
              <w:jc w:val="both"/>
            </w:pPr>
            <w:r>
              <w:t xml:space="preserve">S.B. 40 </w:t>
            </w:r>
            <w:r w:rsidR="00C740F2">
              <w:t xml:space="preserve">replaces the </w:t>
            </w:r>
            <w:r>
              <w:t xml:space="preserve">requirement for a </w:t>
            </w:r>
            <w:r w:rsidRPr="000E6F53">
              <w:t xml:space="preserve">supervisor of </w:t>
            </w:r>
            <w:r w:rsidR="00C740F2">
              <w:t xml:space="preserve">an individual holding </w:t>
            </w:r>
            <w:r w:rsidRPr="000E6F53">
              <w:t xml:space="preserve">a temporary training </w:t>
            </w:r>
            <w:r w:rsidRPr="00C740F2">
              <w:t xml:space="preserve">permit </w:t>
            </w:r>
            <w:r w:rsidR="00C740F2">
              <w:t xml:space="preserve">for </w:t>
            </w:r>
            <w:r w:rsidRPr="00C740F2">
              <w:t>hearing instrument fitters and dispensers to practice</w:t>
            </w:r>
            <w:r w:rsidRPr="000E6F53">
              <w:t xml:space="preserve"> in an established place o</w:t>
            </w:r>
            <w:r w:rsidRPr="000E6F53">
              <w:t>f business</w:t>
            </w:r>
            <w:r>
              <w:t xml:space="preserve"> </w:t>
            </w:r>
            <w:r w:rsidR="00C740F2">
              <w:t>with a requirement for</w:t>
            </w:r>
            <w:r>
              <w:t xml:space="preserve"> the supervisor to </w:t>
            </w:r>
            <w:r w:rsidRPr="000E6F53">
              <w:t xml:space="preserve">practice </w:t>
            </w:r>
            <w:r>
              <w:t xml:space="preserve">in Texas under a license to </w:t>
            </w:r>
            <w:r w:rsidRPr="000E6F53">
              <w:t>fit an</w:t>
            </w:r>
            <w:r>
              <w:t xml:space="preserve">d dispense hearing instruments. </w:t>
            </w:r>
          </w:p>
          <w:p w14:paraId="7C3FEE60" w14:textId="76CF045F" w:rsidR="004C5A4C" w:rsidRDefault="004C5A4C" w:rsidP="00DA25ED">
            <w:pPr>
              <w:pStyle w:val="Header"/>
              <w:jc w:val="both"/>
            </w:pPr>
          </w:p>
          <w:p w14:paraId="7EE7B9ED" w14:textId="7D13840D" w:rsidR="004C5A4C" w:rsidRDefault="006509CF" w:rsidP="00DA25ED">
            <w:pPr>
              <w:pStyle w:val="Header"/>
              <w:jc w:val="both"/>
            </w:pPr>
            <w:r>
              <w:t xml:space="preserve">S.B. 40 authorizes a </w:t>
            </w:r>
            <w:r w:rsidRPr="004C5A4C">
              <w:t>licensed dyslexia practitioner</w:t>
            </w:r>
            <w:r w:rsidR="00C740F2">
              <w:t xml:space="preserve"> or therapist</w:t>
            </w:r>
            <w:r>
              <w:t xml:space="preserve"> </w:t>
            </w:r>
            <w:r w:rsidR="00C740F2">
              <w:t>to</w:t>
            </w:r>
            <w:r>
              <w:t xml:space="preserve"> </w:t>
            </w:r>
            <w:r w:rsidRPr="004C5A4C">
              <w:t>provide telehealth services from a remote location only</w:t>
            </w:r>
            <w:r w:rsidR="00C740F2">
              <w:t xml:space="preserve"> in a practice setting in which</w:t>
            </w:r>
            <w:r w:rsidRPr="004C5A4C">
              <w:t xml:space="preserve"> </w:t>
            </w:r>
            <w:r w:rsidR="00C740F2">
              <w:t>they would be authorized to practice in person,</w:t>
            </w:r>
            <w:r w:rsidR="006B5D99">
              <w:t xml:space="preserve"> regardless </w:t>
            </w:r>
            <w:r w:rsidR="006B5D99" w:rsidRPr="006B5D99">
              <w:t>of the physical location of the license holder or the recipient of the telehealth services.</w:t>
            </w:r>
            <w:r w:rsidR="006B5D99">
              <w:t xml:space="preserve"> </w:t>
            </w:r>
          </w:p>
          <w:p w14:paraId="48AB9C6A" w14:textId="34FC0B63" w:rsidR="006B5D99" w:rsidRDefault="006B5D99" w:rsidP="00DA25ED">
            <w:pPr>
              <w:pStyle w:val="Header"/>
              <w:jc w:val="both"/>
            </w:pPr>
          </w:p>
          <w:p w14:paraId="444D96C0" w14:textId="7E273005" w:rsidR="006B5D99" w:rsidRDefault="006509CF" w:rsidP="00DA25ED">
            <w:pPr>
              <w:pStyle w:val="Header"/>
              <w:jc w:val="both"/>
            </w:pPr>
            <w:r>
              <w:t>S.B. 40 repeals the following provisions of the Occupations Code</w:t>
            </w:r>
            <w:r w:rsidR="00C740F2">
              <w:t xml:space="preserve"> relating to rules </w:t>
            </w:r>
            <w:r w:rsidR="00C740F2" w:rsidRPr="006B5D99">
              <w:t>for fitting and dispensing of hearing instruments by telepractice</w:t>
            </w:r>
            <w:r>
              <w:t>:</w:t>
            </w:r>
          </w:p>
          <w:p w14:paraId="79F71C93" w14:textId="2CBDA274" w:rsidR="006B5D99" w:rsidRDefault="006509CF" w:rsidP="00DA25ED">
            <w:pPr>
              <w:pStyle w:val="Header"/>
              <w:numPr>
                <w:ilvl w:val="0"/>
                <w:numId w:val="2"/>
              </w:numPr>
              <w:jc w:val="both"/>
            </w:pPr>
            <w:r w:rsidRPr="006B5D99">
              <w:t>Section 401.2022; and</w:t>
            </w:r>
          </w:p>
          <w:p w14:paraId="020DFFCE" w14:textId="156F74DE" w:rsidR="006B5D99" w:rsidRPr="009C36CD" w:rsidRDefault="006509CF" w:rsidP="00DA25ED">
            <w:pPr>
              <w:pStyle w:val="Header"/>
              <w:numPr>
                <w:ilvl w:val="0"/>
                <w:numId w:val="2"/>
              </w:numPr>
              <w:jc w:val="both"/>
            </w:pPr>
            <w:r w:rsidRPr="006B5D99">
              <w:t>Section 402.1023.</w:t>
            </w:r>
            <w:r>
              <w:t xml:space="preserve"> </w:t>
            </w:r>
          </w:p>
          <w:p w14:paraId="372B78BD" w14:textId="77777777" w:rsidR="008423E4" w:rsidRPr="00835628" w:rsidRDefault="008423E4" w:rsidP="00DA25ED">
            <w:pPr>
              <w:rPr>
                <w:b/>
              </w:rPr>
            </w:pPr>
          </w:p>
        </w:tc>
      </w:tr>
      <w:tr w:rsidR="009C370B" w14:paraId="0C255410" w14:textId="77777777" w:rsidTr="001656F4">
        <w:tc>
          <w:tcPr>
            <w:tcW w:w="9576" w:type="dxa"/>
          </w:tcPr>
          <w:p w14:paraId="023A2382" w14:textId="77777777" w:rsidR="008423E4" w:rsidRPr="00A8133F" w:rsidRDefault="006509CF" w:rsidP="00DA25E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B70F165" w14:textId="77777777" w:rsidR="008423E4" w:rsidRDefault="008423E4" w:rsidP="00DA25ED"/>
          <w:p w14:paraId="06E967E5" w14:textId="10E462A1" w:rsidR="008423E4" w:rsidRPr="003624F2" w:rsidRDefault="006509CF" w:rsidP="00DA25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43436924" w14:textId="77777777" w:rsidR="008423E4" w:rsidRPr="00233FDB" w:rsidRDefault="008423E4" w:rsidP="00DA25ED">
            <w:pPr>
              <w:rPr>
                <w:b/>
              </w:rPr>
            </w:pPr>
          </w:p>
        </w:tc>
      </w:tr>
    </w:tbl>
    <w:p w14:paraId="0F16AF6D" w14:textId="77777777" w:rsidR="008423E4" w:rsidRPr="00BE0E75" w:rsidRDefault="008423E4" w:rsidP="00DA25ED">
      <w:pPr>
        <w:jc w:val="both"/>
        <w:rPr>
          <w:rFonts w:ascii="Arial" w:hAnsi="Arial"/>
          <w:sz w:val="16"/>
          <w:szCs w:val="16"/>
        </w:rPr>
      </w:pPr>
    </w:p>
    <w:p w14:paraId="74549241" w14:textId="77777777" w:rsidR="004108C3" w:rsidRPr="008423E4" w:rsidRDefault="004108C3" w:rsidP="00DA25E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4C254" w14:textId="77777777" w:rsidR="00000000" w:rsidRDefault="006509CF">
      <w:r>
        <w:separator/>
      </w:r>
    </w:p>
  </w:endnote>
  <w:endnote w:type="continuationSeparator" w:id="0">
    <w:p w14:paraId="0F4CBACA" w14:textId="77777777" w:rsidR="00000000" w:rsidRDefault="0065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9BAF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C370B" w14:paraId="12628BDA" w14:textId="77777777" w:rsidTr="009C1E9A">
      <w:trPr>
        <w:cantSplit/>
      </w:trPr>
      <w:tc>
        <w:tcPr>
          <w:tcW w:w="0" w:type="pct"/>
        </w:tcPr>
        <w:p w14:paraId="1BC25BE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A4D4B1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245BF5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8C94EB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DDE40A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370B" w14:paraId="28110ABF" w14:textId="77777777" w:rsidTr="009C1E9A">
      <w:trPr>
        <w:cantSplit/>
      </w:trPr>
      <w:tc>
        <w:tcPr>
          <w:tcW w:w="0" w:type="pct"/>
        </w:tcPr>
        <w:p w14:paraId="699BED7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DF265DF" w14:textId="77777777" w:rsidR="00EC379B" w:rsidRPr="009C1E9A" w:rsidRDefault="006509C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26224</w:t>
          </w:r>
        </w:p>
      </w:tc>
      <w:tc>
        <w:tcPr>
          <w:tcW w:w="2453" w:type="pct"/>
        </w:tcPr>
        <w:p w14:paraId="773ADBD9" w14:textId="69E6BC7D" w:rsidR="00EC379B" w:rsidRDefault="006509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A25ED">
            <w:t>21.132.810</w:t>
          </w:r>
          <w:r>
            <w:fldChar w:fldCharType="end"/>
          </w:r>
        </w:p>
      </w:tc>
    </w:tr>
    <w:tr w:rsidR="009C370B" w14:paraId="5C188C4E" w14:textId="77777777" w:rsidTr="009C1E9A">
      <w:trPr>
        <w:cantSplit/>
      </w:trPr>
      <w:tc>
        <w:tcPr>
          <w:tcW w:w="0" w:type="pct"/>
        </w:tcPr>
        <w:p w14:paraId="30D5FF0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CA6825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AE4388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059477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370B" w14:paraId="15E1541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4CB7CE1" w14:textId="3AD12A91" w:rsidR="00EC379B" w:rsidRDefault="006509C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A25E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D8296D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0634FE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FE4D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BFEE9" w14:textId="77777777" w:rsidR="00000000" w:rsidRDefault="006509CF">
      <w:r>
        <w:separator/>
      </w:r>
    </w:p>
  </w:footnote>
  <w:footnote w:type="continuationSeparator" w:id="0">
    <w:p w14:paraId="0E77DE09" w14:textId="77777777" w:rsidR="00000000" w:rsidRDefault="0065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AF1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6A74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1C952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4E36"/>
    <w:multiLevelType w:val="hybridMultilevel"/>
    <w:tmpl w:val="623650CA"/>
    <w:lvl w:ilvl="0" w:tplc="70B8C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1EDC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A0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AC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A64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CAFF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CC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888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24E2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110F9"/>
    <w:multiLevelType w:val="hybridMultilevel"/>
    <w:tmpl w:val="AE0A355A"/>
    <w:lvl w:ilvl="0" w:tplc="5F0A5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C25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72D8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58D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2C3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681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C4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88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1222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7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6F53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56F4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3E6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720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2B5D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7B7A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A4C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9CF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1BA2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D99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1287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2CD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427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2A5B"/>
    <w:rsid w:val="008930D7"/>
    <w:rsid w:val="008947A7"/>
    <w:rsid w:val="00896F6A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370B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477FE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0F2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0B91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25ED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5FCE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3BDF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540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381C31-E9F8-4342-8069-506614A8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E6F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6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6F5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6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6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3840</Characters>
  <Application>Microsoft Office Word</Application>
  <DocSecurity>4</DocSecurity>
  <Lines>86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SB00040 (Committee Report (Unamended))</vt:lpstr>
    </vt:vector>
  </TitlesOfParts>
  <Company>State of Texas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26224</dc:subject>
  <dc:creator>State of Texas</dc:creator>
  <cp:lastModifiedBy>Stacey Nicchio</cp:lastModifiedBy>
  <cp:revision>2</cp:revision>
  <cp:lastPrinted>2003-11-26T17:21:00Z</cp:lastPrinted>
  <dcterms:created xsi:type="dcterms:W3CDTF">2021-05-12T21:52:00Z</dcterms:created>
  <dcterms:modified xsi:type="dcterms:W3CDTF">2021-05-12T21:52:00Z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21.132.810</vt:lpwstr>
  </property>
</Properties>
</file>