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0493" w14:paraId="4FB61A99" w14:textId="77777777" w:rsidTr="00345119">
        <w:tc>
          <w:tcPr>
            <w:tcW w:w="9576" w:type="dxa"/>
            <w:noWrap/>
          </w:tcPr>
          <w:p w14:paraId="4F0D63AF" w14:textId="77777777" w:rsidR="008423E4" w:rsidRPr="0022177D" w:rsidRDefault="00285126" w:rsidP="003E2E6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273A3F" w14:textId="77777777" w:rsidR="008423E4" w:rsidRPr="0022177D" w:rsidRDefault="008423E4" w:rsidP="003E2E68">
      <w:pPr>
        <w:jc w:val="center"/>
      </w:pPr>
    </w:p>
    <w:p w14:paraId="33F2547C" w14:textId="77777777" w:rsidR="008423E4" w:rsidRPr="00B31F0E" w:rsidRDefault="008423E4" w:rsidP="003E2E68"/>
    <w:p w14:paraId="729FEB77" w14:textId="77777777" w:rsidR="008423E4" w:rsidRPr="00742794" w:rsidRDefault="008423E4" w:rsidP="003E2E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0493" w14:paraId="6CDDE500" w14:textId="77777777" w:rsidTr="00345119">
        <w:tc>
          <w:tcPr>
            <w:tcW w:w="9576" w:type="dxa"/>
          </w:tcPr>
          <w:p w14:paraId="7C192CF0" w14:textId="77777777" w:rsidR="008423E4" w:rsidRPr="00861995" w:rsidRDefault="00285126" w:rsidP="003E2E68">
            <w:pPr>
              <w:jc w:val="right"/>
            </w:pPr>
            <w:r>
              <w:t>C.S.S.B. 152</w:t>
            </w:r>
          </w:p>
        </w:tc>
      </w:tr>
      <w:tr w:rsidR="00530493" w14:paraId="0398EF55" w14:textId="77777777" w:rsidTr="00345119">
        <w:tc>
          <w:tcPr>
            <w:tcW w:w="9576" w:type="dxa"/>
          </w:tcPr>
          <w:p w14:paraId="17A72DE9" w14:textId="77777777" w:rsidR="008423E4" w:rsidRPr="00861995" w:rsidRDefault="00285126" w:rsidP="003E2E68">
            <w:pPr>
              <w:jc w:val="right"/>
            </w:pPr>
            <w:r>
              <w:t xml:space="preserve">By: </w:t>
            </w:r>
            <w:r w:rsidR="00D84E50">
              <w:t>Perry</w:t>
            </w:r>
          </w:p>
        </w:tc>
      </w:tr>
      <w:tr w:rsidR="00530493" w14:paraId="45E67296" w14:textId="77777777" w:rsidTr="00345119">
        <w:tc>
          <w:tcPr>
            <w:tcW w:w="9576" w:type="dxa"/>
          </w:tcPr>
          <w:p w14:paraId="1D223F63" w14:textId="77777777" w:rsidR="008423E4" w:rsidRPr="00861995" w:rsidRDefault="00285126" w:rsidP="003E2E68">
            <w:pPr>
              <w:jc w:val="right"/>
            </w:pPr>
            <w:r>
              <w:t>Natural Resources</w:t>
            </w:r>
          </w:p>
        </w:tc>
      </w:tr>
      <w:tr w:rsidR="00530493" w14:paraId="45AC09A1" w14:textId="77777777" w:rsidTr="00345119">
        <w:tc>
          <w:tcPr>
            <w:tcW w:w="9576" w:type="dxa"/>
          </w:tcPr>
          <w:p w14:paraId="34C6B21E" w14:textId="77777777" w:rsidR="008423E4" w:rsidRDefault="00285126" w:rsidP="003E2E68">
            <w:pPr>
              <w:jc w:val="right"/>
            </w:pPr>
            <w:r>
              <w:t>Committee Report (Substituted)</w:t>
            </w:r>
          </w:p>
        </w:tc>
      </w:tr>
    </w:tbl>
    <w:p w14:paraId="73FA526E" w14:textId="77777777" w:rsidR="008423E4" w:rsidRDefault="008423E4" w:rsidP="003E2E68">
      <w:pPr>
        <w:tabs>
          <w:tab w:val="right" w:pos="9360"/>
        </w:tabs>
      </w:pPr>
    </w:p>
    <w:p w14:paraId="65394A35" w14:textId="77777777" w:rsidR="008423E4" w:rsidRDefault="008423E4" w:rsidP="003E2E68"/>
    <w:p w14:paraId="61E0C405" w14:textId="77777777" w:rsidR="008423E4" w:rsidRDefault="008423E4" w:rsidP="003E2E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0493" w14:paraId="420B8D57" w14:textId="77777777" w:rsidTr="00345119">
        <w:tc>
          <w:tcPr>
            <w:tcW w:w="9576" w:type="dxa"/>
          </w:tcPr>
          <w:p w14:paraId="06CCDBD2" w14:textId="77777777" w:rsidR="008423E4" w:rsidRPr="00A8133F" w:rsidRDefault="00285126" w:rsidP="003E2E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19BF42" w14:textId="77777777" w:rsidR="008423E4" w:rsidRDefault="008423E4" w:rsidP="003E2E68"/>
          <w:p w14:paraId="02CB3B1F" w14:textId="0EC61B3D" w:rsidR="008423E4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greater transparency and better landowner protection could be provided with respect to groundwater</w:t>
            </w:r>
            <w:r>
              <w:t xml:space="preserve"> conservation districts. C.S.S.B. 152 seeks to address this issue by providing for a petition to change district rules, </w:t>
            </w:r>
            <w:r w:rsidR="00C56FF7">
              <w:t xml:space="preserve">for </w:t>
            </w:r>
            <w:r w:rsidR="00937AA7">
              <w:t xml:space="preserve">updated management plans, and </w:t>
            </w:r>
            <w:r w:rsidR="00C56FF7">
              <w:t xml:space="preserve">for </w:t>
            </w:r>
            <w:r w:rsidR="00937AA7">
              <w:t xml:space="preserve">notice </w:t>
            </w:r>
            <w:r w:rsidR="00C56FF7">
              <w:t xml:space="preserve">to </w:t>
            </w:r>
            <w:r w:rsidR="00937AA7">
              <w:t>certain applications.</w:t>
            </w:r>
          </w:p>
          <w:p w14:paraId="49A7B65B" w14:textId="77777777" w:rsidR="008423E4" w:rsidRPr="00E26B13" w:rsidRDefault="008423E4" w:rsidP="003E2E68">
            <w:pPr>
              <w:rPr>
                <w:b/>
              </w:rPr>
            </w:pPr>
          </w:p>
        </w:tc>
      </w:tr>
      <w:tr w:rsidR="00530493" w14:paraId="78C43C26" w14:textId="77777777" w:rsidTr="00345119">
        <w:tc>
          <w:tcPr>
            <w:tcW w:w="9576" w:type="dxa"/>
          </w:tcPr>
          <w:p w14:paraId="503A09A3" w14:textId="77777777" w:rsidR="0017725B" w:rsidRDefault="00285126" w:rsidP="003E2E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90938C" w14:textId="77777777" w:rsidR="0017725B" w:rsidRDefault="0017725B" w:rsidP="003E2E68">
            <w:pPr>
              <w:rPr>
                <w:b/>
                <w:u w:val="single"/>
              </w:rPr>
            </w:pPr>
          </w:p>
          <w:p w14:paraId="3F3FC9AB" w14:textId="0CFDDCE2" w:rsidR="00E5351F" w:rsidRPr="00E5351F" w:rsidRDefault="00285126" w:rsidP="003E2E68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BAC36EE" w14:textId="77777777" w:rsidR="0017725B" w:rsidRPr="0017725B" w:rsidRDefault="0017725B" w:rsidP="003E2E68">
            <w:pPr>
              <w:rPr>
                <w:b/>
                <w:u w:val="single"/>
              </w:rPr>
            </w:pPr>
          </w:p>
        </w:tc>
      </w:tr>
      <w:tr w:rsidR="00530493" w14:paraId="2692BD37" w14:textId="77777777" w:rsidTr="00345119">
        <w:tc>
          <w:tcPr>
            <w:tcW w:w="9576" w:type="dxa"/>
          </w:tcPr>
          <w:p w14:paraId="1B446908" w14:textId="77777777" w:rsidR="008423E4" w:rsidRPr="00A8133F" w:rsidRDefault="00285126" w:rsidP="003E2E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7E08B0" w14:textId="77777777" w:rsidR="008423E4" w:rsidRDefault="008423E4" w:rsidP="003E2E68"/>
          <w:p w14:paraId="5CAC3F2C" w14:textId="2BF95B03" w:rsidR="00C757EB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769F2C2" w14:textId="77777777" w:rsidR="008423E4" w:rsidRPr="00E21FDC" w:rsidRDefault="008423E4" w:rsidP="003E2E68">
            <w:pPr>
              <w:rPr>
                <w:b/>
              </w:rPr>
            </w:pPr>
          </w:p>
        </w:tc>
      </w:tr>
      <w:tr w:rsidR="00530493" w14:paraId="66EC4C55" w14:textId="77777777" w:rsidTr="00345119">
        <w:tc>
          <w:tcPr>
            <w:tcW w:w="9576" w:type="dxa"/>
          </w:tcPr>
          <w:p w14:paraId="6671BE6B" w14:textId="77777777" w:rsidR="008423E4" w:rsidRPr="00A8133F" w:rsidRDefault="00285126" w:rsidP="003E2E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A30E1A" w14:textId="77777777" w:rsidR="008423E4" w:rsidRDefault="008423E4" w:rsidP="003E2E68"/>
          <w:p w14:paraId="75C499E1" w14:textId="5BFDF3ED" w:rsidR="001051D7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152 amends the </w:t>
            </w:r>
            <w:r w:rsidRPr="001051D7">
              <w:t>Water Code</w:t>
            </w:r>
            <w:r>
              <w:t xml:space="preserve"> to authorize a person with a real property interest in groundwater to petition the groundwater conservation district where the property that gives rise to the real property interest is located to adopt or modify a rule. The bill requires the district by r</w:t>
            </w:r>
            <w:r>
              <w:t>ule to prescribe the form for the petition and the procedure for the petition's submission, consideration, and disposition.</w:t>
            </w:r>
            <w:r w:rsidR="00403347">
              <w:t xml:space="preserve"> The bill requires the district, n</w:t>
            </w:r>
            <w:r>
              <w:t xml:space="preserve">ot later than the 90th day after the date the district receives </w:t>
            </w:r>
            <w:r w:rsidR="00403347">
              <w:t>the petition, to do the following</w:t>
            </w:r>
            <w:r>
              <w:t>:</w:t>
            </w:r>
          </w:p>
          <w:p w14:paraId="296BBBED" w14:textId="17ED5BFC" w:rsidR="001051D7" w:rsidRDefault="00285126" w:rsidP="003E2E6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deny the petition and provide an explanation for the denial; or</w:t>
            </w:r>
          </w:p>
          <w:p w14:paraId="3AAEA1F5" w14:textId="0484C04B" w:rsidR="001051D7" w:rsidRDefault="00285126" w:rsidP="003E2E6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engage in rulemaking consistent with the granted petition.</w:t>
            </w:r>
          </w:p>
          <w:p w14:paraId="65CD91FB" w14:textId="76336403" w:rsidR="007221DA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prohibits these provisions of the bill from </w:t>
            </w:r>
            <w:r w:rsidR="001051D7">
              <w:t>be</w:t>
            </w:r>
            <w:r>
              <w:t>ing</w:t>
            </w:r>
            <w:r w:rsidR="001051D7">
              <w:t xml:space="preserve"> construed to create a private cause of action for a decision to accept or deny a petition.</w:t>
            </w:r>
            <w:r>
              <w:t xml:space="preserve"> </w:t>
            </w:r>
            <w:r w:rsidRPr="00681C06">
              <w:t>The bill requires a district, not later than December 1, 2021, to adopt rules to implement these provisions of the bill.</w:t>
            </w:r>
          </w:p>
          <w:p w14:paraId="5C36EFE3" w14:textId="45672197" w:rsidR="00403347" w:rsidRDefault="00403347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DDE157" w14:textId="171E2898" w:rsidR="00403347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152 </w:t>
            </w:r>
            <w:r w:rsidR="00E47627">
              <w:t>r</w:t>
            </w:r>
            <w:r>
              <w:t>equires a district's management plan, or any amendments to the plan, to include the following:</w:t>
            </w:r>
          </w:p>
          <w:p w14:paraId="3448C39D" w14:textId="1FBE9597" w:rsidR="00403347" w:rsidRDefault="00285126" w:rsidP="003E2E68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most</w:t>
            </w:r>
            <w:r>
              <w:t xml:space="preserve"> recently approved desired future conditions; and</w:t>
            </w:r>
          </w:p>
          <w:p w14:paraId="4D54C1E3" w14:textId="1FD51E30" w:rsidR="00403347" w:rsidRDefault="00285126" w:rsidP="003E2E6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amount of modeled available groundwater corresponding to th</w:t>
            </w:r>
            <w:r w:rsidR="00681C06">
              <w:t>os</w:t>
            </w:r>
            <w:r>
              <w:t>e desired future conditions</w:t>
            </w:r>
            <w:r w:rsidR="00E47627">
              <w:t>.</w:t>
            </w:r>
          </w:p>
          <w:p w14:paraId="1CAD79B8" w14:textId="1E087BD7" w:rsidR="00E47627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a</w:t>
            </w:r>
            <w:r w:rsidRPr="00E47627">
              <w:t xml:space="preserve"> district </w:t>
            </w:r>
            <w:r>
              <w:t>to</w:t>
            </w:r>
            <w:r w:rsidRPr="00E47627">
              <w:t xml:space="preserve"> amend a management plan before the second anniversary of the adoption of </w:t>
            </w:r>
            <w:r>
              <w:t>the mos</w:t>
            </w:r>
            <w:r>
              <w:t xml:space="preserve">t recently approved </w:t>
            </w:r>
            <w:r w:rsidRPr="00E47627">
              <w:t>desired future conditions.</w:t>
            </w:r>
            <w:r w:rsidR="006035B6">
              <w:t xml:space="preserve"> </w:t>
            </w:r>
            <w:r>
              <w:t xml:space="preserve">The bill requires the </w:t>
            </w:r>
            <w:r w:rsidRPr="00E47627">
              <w:t>executive administrator of the Texas Water Development Board</w:t>
            </w:r>
            <w:r>
              <w:t>, if a petition challenging the reasonableness of a desired future condition is filed, to consider the management plan administ</w:t>
            </w:r>
            <w:r>
              <w:t>ratively complete if the district includes the following:</w:t>
            </w:r>
          </w:p>
          <w:p w14:paraId="50BBA98E" w14:textId="017643AA" w:rsidR="00E47627" w:rsidRDefault="00285126" w:rsidP="003E2E68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most recently approved desired future conditions;</w:t>
            </w:r>
          </w:p>
          <w:p w14:paraId="0EE1A5A0" w14:textId="56431736" w:rsidR="00E47627" w:rsidRDefault="00285126" w:rsidP="003E2E68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amount of modeled available groundwater corresponding to the desired future conditions;</w:t>
            </w:r>
          </w:p>
          <w:p w14:paraId="4A11EC43" w14:textId="66DE481C" w:rsidR="00E47627" w:rsidRDefault="00285126" w:rsidP="003E2E68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 statement of the status of the petition challengin</w:t>
            </w:r>
            <w:r>
              <w:t>g the reasonableness of a desired future condition; and</w:t>
            </w:r>
          </w:p>
          <w:p w14:paraId="1F2996B8" w14:textId="78813DAC" w:rsidR="00E47627" w:rsidRDefault="00285126" w:rsidP="003E2E6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prescribed information.</w:t>
            </w:r>
          </w:p>
          <w:p w14:paraId="7817336B" w14:textId="3DBAFB7A" w:rsidR="006035B6" w:rsidRDefault="006035B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BD01939" w14:textId="4C2B10F9" w:rsidR="005447F3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035B6">
              <w:t>C.S.S.B. 152</w:t>
            </w:r>
            <w:r>
              <w:t xml:space="preserve"> requires a district that has adopted rules regulating the spacing of wells </w:t>
            </w:r>
            <w:r w:rsidR="00AB58F2">
              <w:t>that</w:t>
            </w:r>
            <w:r>
              <w:t xml:space="preserve"> require wells to be spaced a certain</w:t>
            </w:r>
            <w:r w:rsidR="00AB58F2">
              <w:t xml:space="preserve"> distance from other wells to</w:t>
            </w:r>
            <w:r>
              <w:t xml:space="preserve"> adopt rules requiring that notice of an application for a permit or permit amendment to drill a well or increase the production capacity of an existing well be p</w:t>
            </w:r>
            <w:r w:rsidR="00AB58F2">
              <w:t xml:space="preserve">rovided to each landowner whose </w:t>
            </w:r>
            <w:r>
              <w:t xml:space="preserve">land is located wholly or partly within the spacing distances </w:t>
            </w:r>
            <w:r>
              <w:t xml:space="preserve">from other wells under the </w:t>
            </w:r>
            <w:r w:rsidR="00AB58F2">
              <w:t xml:space="preserve">district's </w:t>
            </w:r>
            <w:r>
              <w:t>spacing rules and</w:t>
            </w:r>
            <w:r w:rsidR="00AB58F2">
              <w:t xml:space="preserve"> whose </w:t>
            </w:r>
            <w:r>
              <w:t xml:space="preserve">right to obtain a permit or permit amendment for a well of a certain size or location under the </w:t>
            </w:r>
            <w:r w:rsidR="00AB58F2">
              <w:t xml:space="preserve">district's </w:t>
            </w:r>
            <w:r>
              <w:t>spacing rules will be affected if the district approves the application.</w:t>
            </w:r>
            <w:r w:rsidR="007221DA">
              <w:t xml:space="preserve"> </w:t>
            </w:r>
            <w:r w:rsidRPr="00681C06">
              <w:t>The bill estab</w:t>
            </w:r>
            <w:r w:rsidRPr="00681C06">
              <w:t xml:space="preserve">lishes that a district is not required to adopt rules requiring notice for certain </w:t>
            </w:r>
            <w:r w:rsidR="00AB58F2" w:rsidRPr="00681C06">
              <w:t>replacement</w:t>
            </w:r>
            <w:r w:rsidRPr="00681C06">
              <w:t xml:space="preserve"> or emergency</w:t>
            </w:r>
            <w:r w:rsidR="00AB58F2" w:rsidRPr="00681C06">
              <w:t xml:space="preserve"> well</w:t>
            </w:r>
            <w:r w:rsidRPr="00681C06">
              <w:t>s or if the notice is to be provided to certain lessors</w:t>
            </w:r>
            <w:r w:rsidR="00837E97" w:rsidRPr="00681C06">
              <w:t xml:space="preserve"> or the district posts</w:t>
            </w:r>
            <w:r w:rsidR="009373E7" w:rsidRPr="00681C06">
              <w:t xml:space="preserve"> in a certain manner</w:t>
            </w:r>
            <w:r w:rsidR="00837E97" w:rsidRPr="00681C06">
              <w:t xml:space="preserve"> certain information at the district's main office and</w:t>
            </w:r>
            <w:r w:rsidR="007221DA" w:rsidRPr="00681C06">
              <w:t>, if applicable, on its website.</w:t>
            </w:r>
          </w:p>
          <w:p w14:paraId="10960937" w14:textId="24DCBCA7" w:rsidR="008423E4" w:rsidRPr="00835628" w:rsidRDefault="008423E4" w:rsidP="003E2E68">
            <w:pPr>
              <w:rPr>
                <w:b/>
              </w:rPr>
            </w:pPr>
          </w:p>
        </w:tc>
      </w:tr>
      <w:tr w:rsidR="00530493" w14:paraId="6B329C00" w14:textId="77777777" w:rsidTr="00345119">
        <w:tc>
          <w:tcPr>
            <w:tcW w:w="9576" w:type="dxa"/>
          </w:tcPr>
          <w:p w14:paraId="1239526A" w14:textId="77777777" w:rsidR="008423E4" w:rsidRPr="00A8133F" w:rsidRDefault="00285126" w:rsidP="003E2E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1B77D0" w14:textId="77777777" w:rsidR="008423E4" w:rsidRDefault="008423E4" w:rsidP="003E2E68"/>
          <w:p w14:paraId="04D02F19" w14:textId="2E790FE9" w:rsidR="008423E4" w:rsidRPr="003624F2" w:rsidRDefault="00285126" w:rsidP="003E2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1AB7EF7" w14:textId="77777777" w:rsidR="008423E4" w:rsidRPr="00233FDB" w:rsidRDefault="008423E4" w:rsidP="003E2E68">
            <w:pPr>
              <w:rPr>
                <w:b/>
              </w:rPr>
            </w:pPr>
          </w:p>
        </w:tc>
      </w:tr>
      <w:tr w:rsidR="00530493" w14:paraId="5A31B8D7" w14:textId="77777777" w:rsidTr="00345119">
        <w:tc>
          <w:tcPr>
            <w:tcW w:w="9576" w:type="dxa"/>
          </w:tcPr>
          <w:p w14:paraId="0F9796C7" w14:textId="77777777" w:rsidR="00D84E50" w:rsidRDefault="00285126" w:rsidP="003E2E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CABF050" w14:textId="77777777" w:rsidR="00EE4D8F" w:rsidRDefault="00EE4D8F" w:rsidP="003E2E68">
            <w:pPr>
              <w:jc w:val="both"/>
            </w:pPr>
          </w:p>
          <w:p w14:paraId="3282679F" w14:textId="0FA58F67" w:rsidR="00EE4D8F" w:rsidRDefault="00285126" w:rsidP="003E2E68">
            <w:pPr>
              <w:jc w:val="both"/>
            </w:pPr>
            <w:r>
              <w:t xml:space="preserve">While C.S.S.B. 152 may differ from the engrossed in minor or nonsubstantive ways, the following summarizes the substantial </w:t>
            </w:r>
            <w:r>
              <w:t>differences between the engrossed and committee substitute versions of the bill.</w:t>
            </w:r>
          </w:p>
          <w:p w14:paraId="5D7B29D3" w14:textId="42A78214" w:rsidR="00C5615F" w:rsidRDefault="00C5615F" w:rsidP="003E2E68">
            <w:pPr>
              <w:jc w:val="both"/>
            </w:pPr>
          </w:p>
          <w:p w14:paraId="4A487E7E" w14:textId="0C82D844" w:rsidR="00C5615F" w:rsidRDefault="00285126" w:rsidP="003E2E68">
            <w:pPr>
              <w:jc w:val="both"/>
            </w:pPr>
            <w:r>
              <w:t xml:space="preserve">The substitute does not include provisions included in the engrossed that provide the following with respect to the requirement that a court grant a groundwater conservation </w:t>
            </w:r>
            <w:r>
              <w:t>district recovery for attorney's fees and applicable costs sought by the district in relation to a suit in which the district prevails but did not voluntarily intervene:</w:t>
            </w:r>
          </w:p>
          <w:p w14:paraId="5A298F8C" w14:textId="77777777" w:rsidR="00C5615F" w:rsidRDefault="00285126" w:rsidP="003E2E68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the court is authorized, rather than required, to grant such fees and costs; and</w:t>
            </w:r>
          </w:p>
          <w:p w14:paraId="2F360A31" w14:textId="4852E3B5" w:rsidR="00C5615F" w:rsidRDefault="00285126" w:rsidP="003E2E68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speci</w:t>
            </w:r>
            <w:r>
              <w:t>fied provisions relating to the awarding of such fees and costs prevail</w:t>
            </w:r>
            <w:r w:rsidR="009E0833">
              <w:t>ing</w:t>
            </w:r>
            <w:r>
              <w:t xml:space="preserve"> over any other special law inconsistent with those provisions unless the other law prohibits an award of the fees or costs.</w:t>
            </w:r>
          </w:p>
          <w:p w14:paraId="3DF99C5B" w14:textId="2DFB9976" w:rsidR="004D2B55" w:rsidRDefault="004D2B55" w:rsidP="003E2E68">
            <w:pPr>
              <w:jc w:val="both"/>
            </w:pPr>
          </w:p>
          <w:p w14:paraId="457FFDA0" w14:textId="7B5310B3" w:rsidR="00EE4D8F" w:rsidRPr="00EE4D8F" w:rsidRDefault="00285126" w:rsidP="003E2E68">
            <w:pPr>
              <w:jc w:val="both"/>
            </w:pPr>
            <w:r>
              <w:t xml:space="preserve">The substitute differs from the engrossed by specifying </w:t>
            </w:r>
            <w:r>
              <w:t>that</w:t>
            </w:r>
            <w:r w:rsidR="0076762C">
              <w:t xml:space="preserve">, with respect to the bill's requirement that certain districts </w:t>
            </w:r>
            <w:r w:rsidR="0076762C" w:rsidRPr="0076762C">
              <w:t>adopt rules requiring that notice of an application for a permit or permit amendment to drill a well or increase the production capacity of an e</w:t>
            </w:r>
            <w:r w:rsidR="0076762C">
              <w:t>xisting well be provided to certain</w:t>
            </w:r>
            <w:r w:rsidR="0076762C" w:rsidRPr="0076762C">
              <w:t xml:space="preserve"> landowner</w:t>
            </w:r>
            <w:r w:rsidR="0076762C">
              <w:t xml:space="preserve">s, </w:t>
            </w:r>
            <w:r>
              <w:t xml:space="preserve">a district is not required to adopt rules requiring notice </w:t>
            </w:r>
            <w:r w:rsidR="0076762C">
              <w:t>for certain wells or certain conditions, whereas the engrossed specified that notice is not required for those wells or those conditions.</w:t>
            </w:r>
          </w:p>
        </w:tc>
      </w:tr>
      <w:tr w:rsidR="00530493" w14:paraId="7D8C85D1" w14:textId="77777777" w:rsidTr="00345119">
        <w:tc>
          <w:tcPr>
            <w:tcW w:w="9576" w:type="dxa"/>
          </w:tcPr>
          <w:p w14:paraId="408D0884" w14:textId="77777777" w:rsidR="00D84E50" w:rsidRPr="009C1E9A" w:rsidRDefault="00D84E50" w:rsidP="003E2E68">
            <w:pPr>
              <w:rPr>
                <w:b/>
                <w:u w:val="single"/>
              </w:rPr>
            </w:pPr>
          </w:p>
        </w:tc>
      </w:tr>
      <w:tr w:rsidR="00530493" w14:paraId="1BC8B022" w14:textId="77777777" w:rsidTr="00345119">
        <w:tc>
          <w:tcPr>
            <w:tcW w:w="9576" w:type="dxa"/>
          </w:tcPr>
          <w:p w14:paraId="12F6A946" w14:textId="77777777" w:rsidR="00D84E50" w:rsidRPr="00D84E50" w:rsidRDefault="00D84E50" w:rsidP="003E2E68">
            <w:pPr>
              <w:jc w:val="both"/>
            </w:pPr>
          </w:p>
        </w:tc>
      </w:tr>
    </w:tbl>
    <w:p w14:paraId="615B4DC3" w14:textId="6F88321B" w:rsidR="004108C3" w:rsidRPr="008423E4" w:rsidRDefault="004108C3" w:rsidP="003E2E6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533A" w14:textId="77777777" w:rsidR="00000000" w:rsidRDefault="00285126">
      <w:r>
        <w:separator/>
      </w:r>
    </w:p>
  </w:endnote>
  <w:endnote w:type="continuationSeparator" w:id="0">
    <w:p w14:paraId="662FB513" w14:textId="77777777" w:rsidR="00000000" w:rsidRDefault="002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3B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0493" w14:paraId="44F3877E" w14:textId="77777777" w:rsidTr="009C1E9A">
      <w:trPr>
        <w:cantSplit/>
      </w:trPr>
      <w:tc>
        <w:tcPr>
          <w:tcW w:w="0" w:type="pct"/>
        </w:tcPr>
        <w:p w14:paraId="4350FC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EF76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AAE9C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D67A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2D89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0493" w14:paraId="23735A83" w14:textId="77777777" w:rsidTr="009C1E9A">
      <w:trPr>
        <w:cantSplit/>
      </w:trPr>
      <w:tc>
        <w:tcPr>
          <w:tcW w:w="0" w:type="pct"/>
        </w:tcPr>
        <w:p w14:paraId="4DA1BC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DA7764" w14:textId="77777777" w:rsidR="00EC379B" w:rsidRPr="009C1E9A" w:rsidRDefault="002851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23587</w:t>
          </w:r>
        </w:p>
      </w:tc>
      <w:tc>
        <w:tcPr>
          <w:tcW w:w="2453" w:type="pct"/>
        </w:tcPr>
        <w:p w14:paraId="68230B3F" w14:textId="603AD9CB" w:rsidR="00EC379B" w:rsidRDefault="002851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C71F9">
            <w:t>21.121.410</w:t>
          </w:r>
          <w:r>
            <w:fldChar w:fldCharType="end"/>
          </w:r>
        </w:p>
      </w:tc>
    </w:tr>
    <w:tr w:rsidR="00530493" w14:paraId="09225952" w14:textId="77777777" w:rsidTr="009C1E9A">
      <w:trPr>
        <w:cantSplit/>
      </w:trPr>
      <w:tc>
        <w:tcPr>
          <w:tcW w:w="0" w:type="pct"/>
        </w:tcPr>
        <w:p w14:paraId="1B6419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2A696B" w14:textId="77777777" w:rsidR="00EC379B" w:rsidRPr="009C1E9A" w:rsidRDefault="002851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19940</w:t>
          </w:r>
        </w:p>
      </w:tc>
      <w:tc>
        <w:tcPr>
          <w:tcW w:w="2453" w:type="pct"/>
        </w:tcPr>
        <w:p w14:paraId="781B29A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19C8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0493" w14:paraId="7C0075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C95DE2" w14:textId="29D77CC2" w:rsidR="00EC379B" w:rsidRDefault="002851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2E6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92358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A1865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EC4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A47E" w14:textId="77777777" w:rsidR="00000000" w:rsidRDefault="00285126">
      <w:r>
        <w:separator/>
      </w:r>
    </w:p>
  </w:footnote>
  <w:footnote w:type="continuationSeparator" w:id="0">
    <w:p w14:paraId="528971D1" w14:textId="77777777" w:rsidR="00000000" w:rsidRDefault="0028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73E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AA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705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840"/>
    <w:multiLevelType w:val="hybridMultilevel"/>
    <w:tmpl w:val="C91855A4"/>
    <w:lvl w:ilvl="0" w:tplc="C20E4C6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3C76E1F2" w:tentative="1">
      <w:start w:val="1"/>
      <w:numFmt w:val="lowerLetter"/>
      <w:lvlText w:val="%2."/>
      <w:lvlJc w:val="left"/>
      <w:pPr>
        <w:ind w:left="1440" w:hanging="360"/>
      </w:pPr>
    </w:lvl>
    <w:lvl w:ilvl="2" w:tplc="7E3E9C9C" w:tentative="1">
      <w:start w:val="1"/>
      <w:numFmt w:val="lowerRoman"/>
      <w:lvlText w:val="%3."/>
      <w:lvlJc w:val="right"/>
      <w:pPr>
        <w:ind w:left="2160" w:hanging="180"/>
      </w:pPr>
    </w:lvl>
    <w:lvl w:ilvl="3" w:tplc="A4EEC8F8" w:tentative="1">
      <w:start w:val="1"/>
      <w:numFmt w:val="decimal"/>
      <w:lvlText w:val="%4."/>
      <w:lvlJc w:val="left"/>
      <w:pPr>
        <w:ind w:left="2880" w:hanging="360"/>
      </w:pPr>
    </w:lvl>
    <w:lvl w:ilvl="4" w:tplc="4FD64F10" w:tentative="1">
      <w:start w:val="1"/>
      <w:numFmt w:val="lowerLetter"/>
      <w:lvlText w:val="%5."/>
      <w:lvlJc w:val="left"/>
      <w:pPr>
        <w:ind w:left="3600" w:hanging="360"/>
      </w:pPr>
    </w:lvl>
    <w:lvl w:ilvl="5" w:tplc="85DCB0AE" w:tentative="1">
      <w:start w:val="1"/>
      <w:numFmt w:val="lowerRoman"/>
      <w:lvlText w:val="%6."/>
      <w:lvlJc w:val="right"/>
      <w:pPr>
        <w:ind w:left="4320" w:hanging="180"/>
      </w:pPr>
    </w:lvl>
    <w:lvl w:ilvl="6" w:tplc="6EAE9E22" w:tentative="1">
      <w:start w:val="1"/>
      <w:numFmt w:val="decimal"/>
      <w:lvlText w:val="%7."/>
      <w:lvlJc w:val="left"/>
      <w:pPr>
        <w:ind w:left="5040" w:hanging="360"/>
      </w:pPr>
    </w:lvl>
    <w:lvl w:ilvl="7" w:tplc="075EF184" w:tentative="1">
      <w:start w:val="1"/>
      <w:numFmt w:val="lowerLetter"/>
      <w:lvlText w:val="%8."/>
      <w:lvlJc w:val="left"/>
      <w:pPr>
        <w:ind w:left="5760" w:hanging="360"/>
      </w:pPr>
    </w:lvl>
    <w:lvl w:ilvl="8" w:tplc="0A4C7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69F6"/>
    <w:multiLevelType w:val="hybridMultilevel"/>
    <w:tmpl w:val="A6CEDE48"/>
    <w:lvl w:ilvl="0" w:tplc="8AF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01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C0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A3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21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02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7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6B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B83"/>
    <w:multiLevelType w:val="hybridMultilevel"/>
    <w:tmpl w:val="1812AE48"/>
    <w:lvl w:ilvl="0" w:tplc="1094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05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8B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09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5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A7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C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CA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6BC4"/>
    <w:multiLevelType w:val="hybridMultilevel"/>
    <w:tmpl w:val="80C8D9E4"/>
    <w:lvl w:ilvl="0" w:tplc="370C3C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87429A2A" w:tentative="1">
      <w:start w:val="1"/>
      <w:numFmt w:val="lowerLetter"/>
      <w:lvlText w:val="%2."/>
      <w:lvlJc w:val="left"/>
      <w:pPr>
        <w:ind w:left="1440" w:hanging="360"/>
      </w:pPr>
    </w:lvl>
    <w:lvl w:ilvl="2" w:tplc="EB245E06" w:tentative="1">
      <w:start w:val="1"/>
      <w:numFmt w:val="lowerRoman"/>
      <w:lvlText w:val="%3."/>
      <w:lvlJc w:val="right"/>
      <w:pPr>
        <w:ind w:left="2160" w:hanging="180"/>
      </w:pPr>
    </w:lvl>
    <w:lvl w:ilvl="3" w:tplc="6178D3B2" w:tentative="1">
      <w:start w:val="1"/>
      <w:numFmt w:val="decimal"/>
      <w:lvlText w:val="%4."/>
      <w:lvlJc w:val="left"/>
      <w:pPr>
        <w:ind w:left="2880" w:hanging="360"/>
      </w:pPr>
    </w:lvl>
    <w:lvl w:ilvl="4" w:tplc="09B0E9D2" w:tentative="1">
      <w:start w:val="1"/>
      <w:numFmt w:val="lowerLetter"/>
      <w:lvlText w:val="%5."/>
      <w:lvlJc w:val="left"/>
      <w:pPr>
        <w:ind w:left="3600" w:hanging="360"/>
      </w:pPr>
    </w:lvl>
    <w:lvl w:ilvl="5" w:tplc="A678CF26" w:tentative="1">
      <w:start w:val="1"/>
      <w:numFmt w:val="lowerRoman"/>
      <w:lvlText w:val="%6."/>
      <w:lvlJc w:val="right"/>
      <w:pPr>
        <w:ind w:left="4320" w:hanging="180"/>
      </w:pPr>
    </w:lvl>
    <w:lvl w:ilvl="6" w:tplc="9500A358" w:tentative="1">
      <w:start w:val="1"/>
      <w:numFmt w:val="decimal"/>
      <w:lvlText w:val="%7."/>
      <w:lvlJc w:val="left"/>
      <w:pPr>
        <w:ind w:left="5040" w:hanging="360"/>
      </w:pPr>
    </w:lvl>
    <w:lvl w:ilvl="7" w:tplc="F6A84FC2" w:tentative="1">
      <w:start w:val="1"/>
      <w:numFmt w:val="lowerLetter"/>
      <w:lvlText w:val="%8."/>
      <w:lvlJc w:val="left"/>
      <w:pPr>
        <w:ind w:left="5760" w:hanging="360"/>
      </w:pPr>
    </w:lvl>
    <w:lvl w:ilvl="8" w:tplc="5EA0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45E"/>
    <w:multiLevelType w:val="hybridMultilevel"/>
    <w:tmpl w:val="8074797A"/>
    <w:lvl w:ilvl="0" w:tplc="A05675B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BA04A36E" w:tentative="1">
      <w:start w:val="1"/>
      <w:numFmt w:val="lowerLetter"/>
      <w:lvlText w:val="%2."/>
      <w:lvlJc w:val="left"/>
      <w:pPr>
        <w:ind w:left="1440" w:hanging="360"/>
      </w:pPr>
    </w:lvl>
    <w:lvl w:ilvl="2" w:tplc="4A4E1B82" w:tentative="1">
      <w:start w:val="1"/>
      <w:numFmt w:val="lowerRoman"/>
      <w:lvlText w:val="%3."/>
      <w:lvlJc w:val="right"/>
      <w:pPr>
        <w:ind w:left="2160" w:hanging="180"/>
      </w:pPr>
    </w:lvl>
    <w:lvl w:ilvl="3" w:tplc="8C40E984" w:tentative="1">
      <w:start w:val="1"/>
      <w:numFmt w:val="decimal"/>
      <w:lvlText w:val="%4."/>
      <w:lvlJc w:val="left"/>
      <w:pPr>
        <w:ind w:left="2880" w:hanging="360"/>
      </w:pPr>
    </w:lvl>
    <w:lvl w:ilvl="4" w:tplc="EA0EAAA4" w:tentative="1">
      <w:start w:val="1"/>
      <w:numFmt w:val="lowerLetter"/>
      <w:lvlText w:val="%5."/>
      <w:lvlJc w:val="left"/>
      <w:pPr>
        <w:ind w:left="3600" w:hanging="360"/>
      </w:pPr>
    </w:lvl>
    <w:lvl w:ilvl="5" w:tplc="E25EDA98" w:tentative="1">
      <w:start w:val="1"/>
      <w:numFmt w:val="lowerRoman"/>
      <w:lvlText w:val="%6."/>
      <w:lvlJc w:val="right"/>
      <w:pPr>
        <w:ind w:left="4320" w:hanging="180"/>
      </w:pPr>
    </w:lvl>
    <w:lvl w:ilvl="6" w:tplc="97007B42" w:tentative="1">
      <w:start w:val="1"/>
      <w:numFmt w:val="decimal"/>
      <w:lvlText w:val="%7."/>
      <w:lvlJc w:val="left"/>
      <w:pPr>
        <w:ind w:left="5040" w:hanging="360"/>
      </w:pPr>
    </w:lvl>
    <w:lvl w:ilvl="7" w:tplc="18F4CAD0" w:tentative="1">
      <w:start w:val="1"/>
      <w:numFmt w:val="lowerLetter"/>
      <w:lvlText w:val="%8."/>
      <w:lvlJc w:val="left"/>
      <w:pPr>
        <w:ind w:left="5760" w:hanging="360"/>
      </w:pPr>
    </w:lvl>
    <w:lvl w:ilvl="8" w:tplc="0C94F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D2E74"/>
    <w:multiLevelType w:val="hybridMultilevel"/>
    <w:tmpl w:val="BA1AFBE6"/>
    <w:lvl w:ilvl="0" w:tplc="0332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C5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EB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A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24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6B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0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EE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69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60970"/>
    <w:multiLevelType w:val="hybridMultilevel"/>
    <w:tmpl w:val="6F2EA072"/>
    <w:lvl w:ilvl="0" w:tplc="AEBAA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68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D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E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1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4C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0D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CF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61E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1D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1F9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126"/>
    <w:rsid w:val="002853E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C49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561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E68"/>
    <w:rsid w:val="003E6CB0"/>
    <w:rsid w:val="003F1F5E"/>
    <w:rsid w:val="003F286A"/>
    <w:rsid w:val="003F77F8"/>
    <w:rsid w:val="00400ACD"/>
    <w:rsid w:val="00403347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B55"/>
    <w:rsid w:val="004D3F41"/>
    <w:rsid w:val="004D5098"/>
    <w:rsid w:val="004D6497"/>
    <w:rsid w:val="004D7F2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93"/>
    <w:rsid w:val="005304B2"/>
    <w:rsid w:val="005336BD"/>
    <w:rsid w:val="00534A49"/>
    <w:rsid w:val="005363BB"/>
    <w:rsid w:val="00541B98"/>
    <w:rsid w:val="00543374"/>
    <w:rsid w:val="005447F3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A06"/>
    <w:rsid w:val="005C2B21"/>
    <w:rsid w:val="005C2C00"/>
    <w:rsid w:val="005C4C6F"/>
    <w:rsid w:val="005C5127"/>
    <w:rsid w:val="005C7CCB"/>
    <w:rsid w:val="005D1444"/>
    <w:rsid w:val="005D32B7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71D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5B6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BC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277"/>
    <w:rsid w:val="006757AA"/>
    <w:rsid w:val="0068127E"/>
    <w:rsid w:val="00681790"/>
    <w:rsid w:val="00681C06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1DA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62C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9E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E97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AD4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3E7"/>
    <w:rsid w:val="009375BB"/>
    <w:rsid w:val="00937AA7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996"/>
    <w:rsid w:val="009D5A41"/>
    <w:rsid w:val="009E0833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D23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9AD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8F2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81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15F"/>
    <w:rsid w:val="00C56FF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7EB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E50"/>
    <w:rsid w:val="00D91B92"/>
    <w:rsid w:val="00D926B3"/>
    <w:rsid w:val="00D92F63"/>
    <w:rsid w:val="00D947B6"/>
    <w:rsid w:val="00D965FE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627"/>
    <w:rsid w:val="00E500F1"/>
    <w:rsid w:val="00E51446"/>
    <w:rsid w:val="00E529C8"/>
    <w:rsid w:val="00E5351F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D8F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59F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0A7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D0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2D1655-C52E-43DB-928F-C9FB197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2B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B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BCC"/>
    <w:rPr>
      <w:b/>
      <w:bCs/>
    </w:rPr>
  </w:style>
  <w:style w:type="paragraph" w:styleId="ListParagraph">
    <w:name w:val="List Paragraph"/>
    <w:basedOn w:val="Normal"/>
    <w:uiPriority w:val="34"/>
    <w:qFormat/>
    <w:rsid w:val="00C5615F"/>
    <w:pPr>
      <w:ind w:left="720"/>
      <w:contextualSpacing/>
    </w:pPr>
  </w:style>
  <w:style w:type="paragraph" w:styleId="Revision">
    <w:name w:val="Revision"/>
    <w:hidden/>
    <w:uiPriority w:val="99"/>
    <w:semiHidden/>
    <w:rsid w:val="00D96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4410</Characters>
  <Application>Microsoft Office Word</Application>
  <DocSecurity>4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SB00152 (Committee Report (Substituted))</vt:lpstr>
    </vt:vector>
  </TitlesOfParts>
  <Company>State of Texas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23587</dc:subject>
  <dc:creator>State of Texas</dc:creator>
  <dc:description>SB 152 by Perry-(H)Natural Resources (Substitute Document Number: 87R 19940)</dc:description>
  <cp:lastModifiedBy>Stacey Nicchio</cp:lastModifiedBy>
  <cp:revision>2</cp:revision>
  <cp:lastPrinted>2003-11-26T17:21:00Z</cp:lastPrinted>
  <dcterms:created xsi:type="dcterms:W3CDTF">2021-05-03T22:02:00Z</dcterms:created>
  <dcterms:modified xsi:type="dcterms:W3CDTF">2021-05-03T22:02:00Z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21.121.410</vt:lpwstr>
  </property>
</Properties>
</file>