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63174" w14:paraId="0F2BEAB9" w14:textId="77777777" w:rsidTr="00345119">
        <w:tc>
          <w:tcPr>
            <w:tcW w:w="9576" w:type="dxa"/>
            <w:noWrap/>
          </w:tcPr>
          <w:p w14:paraId="4008081C" w14:textId="77777777" w:rsidR="008423E4" w:rsidRPr="0022177D" w:rsidRDefault="0014600C" w:rsidP="003649D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D878CD" w14:textId="77777777" w:rsidR="008423E4" w:rsidRPr="0022177D" w:rsidRDefault="008423E4" w:rsidP="003649D0">
      <w:pPr>
        <w:jc w:val="center"/>
      </w:pPr>
    </w:p>
    <w:p w14:paraId="659F0FC9" w14:textId="77777777" w:rsidR="008423E4" w:rsidRPr="00B31F0E" w:rsidRDefault="008423E4" w:rsidP="003649D0"/>
    <w:p w14:paraId="222D7E85" w14:textId="77777777" w:rsidR="008423E4" w:rsidRPr="00742794" w:rsidRDefault="008423E4" w:rsidP="003649D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3174" w14:paraId="3BC0A762" w14:textId="77777777" w:rsidTr="00345119">
        <w:tc>
          <w:tcPr>
            <w:tcW w:w="9576" w:type="dxa"/>
          </w:tcPr>
          <w:p w14:paraId="465B6864" w14:textId="77777777" w:rsidR="008423E4" w:rsidRPr="00861995" w:rsidRDefault="0014600C" w:rsidP="003649D0">
            <w:pPr>
              <w:jc w:val="right"/>
            </w:pPr>
            <w:r>
              <w:t>C.S.S.B. 153</w:t>
            </w:r>
          </w:p>
        </w:tc>
      </w:tr>
      <w:tr w:rsidR="00A63174" w14:paraId="49C05C30" w14:textId="77777777" w:rsidTr="00345119">
        <w:tc>
          <w:tcPr>
            <w:tcW w:w="9576" w:type="dxa"/>
          </w:tcPr>
          <w:p w14:paraId="68E23962" w14:textId="77777777" w:rsidR="008423E4" w:rsidRPr="00861995" w:rsidRDefault="0014600C" w:rsidP="003649D0">
            <w:pPr>
              <w:jc w:val="right"/>
            </w:pPr>
            <w:r>
              <w:t xml:space="preserve">By: </w:t>
            </w:r>
            <w:r w:rsidR="00094E55">
              <w:t>Perry</w:t>
            </w:r>
          </w:p>
        </w:tc>
      </w:tr>
      <w:tr w:rsidR="00A63174" w14:paraId="7A603730" w14:textId="77777777" w:rsidTr="00345119">
        <w:tc>
          <w:tcPr>
            <w:tcW w:w="9576" w:type="dxa"/>
          </w:tcPr>
          <w:p w14:paraId="739D7361" w14:textId="77777777" w:rsidR="008423E4" w:rsidRPr="00861995" w:rsidRDefault="0014600C" w:rsidP="003649D0">
            <w:pPr>
              <w:jc w:val="right"/>
            </w:pPr>
            <w:r>
              <w:t>Ways &amp; Means</w:t>
            </w:r>
          </w:p>
        </w:tc>
      </w:tr>
      <w:tr w:rsidR="00A63174" w14:paraId="157A7D43" w14:textId="77777777" w:rsidTr="00345119">
        <w:tc>
          <w:tcPr>
            <w:tcW w:w="9576" w:type="dxa"/>
          </w:tcPr>
          <w:p w14:paraId="58321C74" w14:textId="77777777" w:rsidR="008423E4" w:rsidRDefault="0014600C" w:rsidP="003649D0">
            <w:pPr>
              <w:jc w:val="right"/>
            </w:pPr>
            <w:r>
              <w:t>Committee Report (Substituted)</w:t>
            </w:r>
          </w:p>
        </w:tc>
      </w:tr>
    </w:tbl>
    <w:p w14:paraId="17243521" w14:textId="77777777" w:rsidR="008423E4" w:rsidRDefault="008423E4" w:rsidP="003649D0">
      <w:pPr>
        <w:tabs>
          <w:tab w:val="right" w:pos="9360"/>
        </w:tabs>
      </w:pPr>
    </w:p>
    <w:p w14:paraId="6316F8E5" w14:textId="77777777" w:rsidR="008423E4" w:rsidRDefault="008423E4" w:rsidP="003649D0"/>
    <w:p w14:paraId="03575518" w14:textId="77777777" w:rsidR="008423E4" w:rsidRDefault="008423E4" w:rsidP="003649D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63174" w14:paraId="0389EF89" w14:textId="77777777" w:rsidTr="00345119">
        <w:tc>
          <w:tcPr>
            <w:tcW w:w="9576" w:type="dxa"/>
          </w:tcPr>
          <w:p w14:paraId="48681C69" w14:textId="77777777" w:rsidR="008423E4" w:rsidRPr="00A8133F" w:rsidRDefault="0014600C" w:rsidP="003649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16C5CE" w14:textId="77777777" w:rsidR="008423E4" w:rsidRDefault="008423E4" w:rsidP="003649D0"/>
          <w:p w14:paraId="4A13DFDD" w14:textId="366156C6" w:rsidR="008423E4" w:rsidRDefault="0014600C" w:rsidP="003649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813405">
              <w:t xml:space="preserve">comptroller </w:t>
            </w:r>
            <w:r>
              <w:t xml:space="preserve">of </w:t>
            </w:r>
            <w:r w:rsidR="00813405">
              <w:t xml:space="preserve">public accounts </w:t>
            </w:r>
            <w:r>
              <w:t xml:space="preserve">assesses a </w:t>
            </w:r>
            <w:r w:rsidR="00226A1B">
              <w:t>sales and use</w:t>
            </w:r>
            <w:r>
              <w:t xml:space="preserve"> tax on any service that it </w:t>
            </w:r>
            <w:r w:rsidR="00714324">
              <w:t>considers</w:t>
            </w:r>
            <w:r w:rsidR="00226A1B">
              <w:t xml:space="preserve"> a </w:t>
            </w:r>
            <w:r>
              <w:t xml:space="preserve">data processing service. Historically, </w:t>
            </w:r>
            <w:r>
              <w:t>the comptroller has excluded merchant credit</w:t>
            </w:r>
            <w:r w:rsidR="00226A1B">
              <w:t xml:space="preserve"> and </w:t>
            </w:r>
            <w:r>
              <w:t xml:space="preserve">debit card processing services from </w:t>
            </w:r>
            <w:r w:rsidR="00226A1B">
              <w:t>these services, which</w:t>
            </w:r>
            <w:r>
              <w:t xml:space="preserve"> result</w:t>
            </w:r>
            <w:r w:rsidR="00226A1B">
              <w:t>s</w:t>
            </w:r>
            <w:r>
              <w:t xml:space="preserve"> in these services being considered a nontaxable service or occurrence. However, </w:t>
            </w:r>
            <w:r w:rsidR="00226A1B">
              <w:t>it has been suggested</w:t>
            </w:r>
            <w:r>
              <w:t xml:space="preserve"> that during recent audits the comptroll</w:t>
            </w:r>
            <w:r>
              <w:t>er has question</w:t>
            </w:r>
            <w:r w:rsidR="00714324">
              <w:t>ed</w:t>
            </w:r>
            <w:r>
              <w:t xml:space="preserve"> the exclusion of merchant credit</w:t>
            </w:r>
            <w:r w:rsidR="00226A1B">
              <w:t xml:space="preserve"> and </w:t>
            </w:r>
            <w:r>
              <w:t>debit card processing services from the</w:t>
            </w:r>
            <w:r w:rsidR="00226A1B">
              <w:t xml:space="preserve">se </w:t>
            </w:r>
            <w:r>
              <w:t>data processing service</w:t>
            </w:r>
            <w:r w:rsidR="00226A1B">
              <w:t>s</w:t>
            </w:r>
            <w:r>
              <w:t>. This issue has raised concern among businesses as it has called into question their ability to rely on previous comptroller opinions,</w:t>
            </w:r>
            <w:r>
              <w:t xml:space="preserve"> memo</w:t>
            </w:r>
            <w:r w:rsidR="00F82E2A">
              <w:t>randa</w:t>
            </w:r>
            <w:r>
              <w:t>, and rulings</w:t>
            </w:r>
            <w:r w:rsidR="00F82E2A">
              <w:t xml:space="preserve"> </w:t>
            </w:r>
            <w:r>
              <w:t>hold</w:t>
            </w:r>
            <w:r w:rsidR="00F82E2A">
              <w:t>ing</w:t>
            </w:r>
            <w:r>
              <w:t xml:space="preserve"> that merchant credit card processing services involving the electronic transfer of money constitute a nontaxable occurrence. If fully implemented, this change in interpretation could result in Texas businesses paying hundred</w:t>
            </w:r>
            <w:r>
              <w:t>s of millions of dollars in additional taxes each year</w:t>
            </w:r>
            <w:r w:rsidR="00226A1B">
              <w:t xml:space="preserve">, which </w:t>
            </w:r>
            <w:r>
              <w:t xml:space="preserve">would be devastating to businesses across Texas, especially after a year of financial loss due to the COVID-19 pandemic. </w:t>
            </w:r>
            <w:r w:rsidR="00226A1B">
              <w:t xml:space="preserve">C.S.S.B. 153 seeks to address this issue by revising </w:t>
            </w:r>
            <w:r>
              <w:t>the definition of "d</w:t>
            </w:r>
            <w:r>
              <w:t xml:space="preserve">ata processing service" </w:t>
            </w:r>
            <w:r w:rsidR="00226A1B">
              <w:t>under the Limited Sales, Excise, and Use Tax Act</w:t>
            </w:r>
            <w:r>
              <w:t>.</w:t>
            </w:r>
          </w:p>
          <w:p w14:paraId="777FF93F" w14:textId="77777777" w:rsidR="008423E4" w:rsidRPr="00E26B13" w:rsidRDefault="008423E4" w:rsidP="003649D0">
            <w:pPr>
              <w:rPr>
                <w:b/>
              </w:rPr>
            </w:pPr>
          </w:p>
        </w:tc>
      </w:tr>
      <w:tr w:rsidR="00A63174" w14:paraId="4C96A1E1" w14:textId="77777777" w:rsidTr="00345119">
        <w:tc>
          <w:tcPr>
            <w:tcW w:w="9576" w:type="dxa"/>
          </w:tcPr>
          <w:p w14:paraId="5DB701CE" w14:textId="77777777" w:rsidR="0017725B" w:rsidRDefault="0014600C" w:rsidP="003649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CD2E07" w14:textId="77777777" w:rsidR="0017725B" w:rsidRDefault="0017725B" w:rsidP="003649D0">
            <w:pPr>
              <w:rPr>
                <w:b/>
                <w:u w:val="single"/>
              </w:rPr>
            </w:pPr>
          </w:p>
          <w:p w14:paraId="6A6B957C" w14:textId="3AD84E6C" w:rsidR="00094E55" w:rsidRPr="00094E55" w:rsidRDefault="0014600C" w:rsidP="003649D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3C52B92C" w14:textId="77777777" w:rsidR="0017725B" w:rsidRPr="0017725B" w:rsidRDefault="0017725B" w:rsidP="003649D0">
            <w:pPr>
              <w:rPr>
                <w:b/>
                <w:u w:val="single"/>
              </w:rPr>
            </w:pPr>
          </w:p>
        </w:tc>
      </w:tr>
      <w:tr w:rsidR="00A63174" w14:paraId="33641A85" w14:textId="77777777" w:rsidTr="00345119">
        <w:tc>
          <w:tcPr>
            <w:tcW w:w="9576" w:type="dxa"/>
          </w:tcPr>
          <w:p w14:paraId="49CD06DC" w14:textId="77777777" w:rsidR="008423E4" w:rsidRPr="00A8133F" w:rsidRDefault="0014600C" w:rsidP="003649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98D02C2" w14:textId="77777777" w:rsidR="008423E4" w:rsidRDefault="008423E4" w:rsidP="003649D0"/>
          <w:p w14:paraId="11AFA858" w14:textId="77777777" w:rsidR="00094E55" w:rsidRDefault="0014600C" w:rsidP="003649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1AD9DF9C" w14:textId="77777777" w:rsidR="008423E4" w:rsidRPr="00E21FDC" w:rsidRDefault="008423E4" w:rsidP="003649D0">
            <w:pPr>
              <w:rPr>
                <w:b/>
              </w:rPr>
            </w:pPr>
          </w:p>
        </w:tc>
      </w:tr>
      <w:tr w:rsidR="00A63174" w14:paraId="6F1A8223" w14:textId="77777777" w:rsidTr="00345119">
        <w:tc>
          <w:tcPr>
            <w:tcW w:w="9576" w:type="dxa"/>
          </w:tcPr>
          <w:p w14:paraId="225A38A9" w14:textId="77777777" w:rsidR="008423E4" w:rsidRPr="00A8133F" w:rsidRDefault="0014600C" w:rsidP="003649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A3C64C9" w14:textId="77777777" w:rsidR="008423E4" w:rsidRDefault="008423E4" w:rsidP="003649D0"/>
          <w:p w14:paraId="79F37877" w14:textId="5865C3D5" w:rsidR="009C36CD" w:rsidRDefault="0014600C" w:rsidP="003649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153</w:t>
            </w:r>
            <w:r w:rsidR="00640956">
              <w:t xml:space="preserve"> amends the Tax Code to exclude the following from the definition of "data processing service" </w:t>
            </w:r>
            <w:r w:rsidR="00813405">
              <w:t>under the Limited Sales, Excise, and Use Tax Act</w:t>
            </w:r>
            <w:r w:rsidR="00640956">
              <w:t>:</w:t>
            </w:r>
          </w:p>
          <w:p w14:paraId="0C615A68" w14:textId="77777777" w:rsidR="00640956" w:rsidRDefault="0014600C" w:rsidP="003649D0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settling of an electronic payment </w:t>
            </w:r>
            <w:r>
              <w:t>transaction by:</w:t>
            </w:r>
          </w:p>
          <w:p w14:paraId="0DD5EDEC" w14:textId="53169D58" w:rsidR="00640956" w:rsidRDefault="0014600C" w:rsidP="003649D0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downstream payment processor or point of sale payment processor</w:t>
            </w:r>
            <w:r w:rsidR="00D471A1">
              <w:t>, as those terms are defined by the Texas Administrative Code,</w:t>
            </w:r>
            <w:r>
              <w:t xml:space="preserve"> that routes electronic payment information to a federally insured financial institution or to a payment card net</w:t>
            </w:r>
            <w:r>
              <w:t>work that allows a person to accept a specific brand of debit or credit card by routing information and data to settle an electronic payment transaction;</w:t>
            </w:r>
          </w:p>
          <w:p w14:paraId="63153BAB" w14:textId="77777777" w:rsidR="00640956" w:rsidRDefault="0014600C" w:rsidP="003649D0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person who is engaged in the business of money transmission and required to obtain a money transmiss</w:t>
            </w:r>
            <w:r>
              <w:t>ion license;</w:t>
            </w:r>
          </w:p>
          <w:p w14:paraId="409EED28" w14:textId="77777777" w:rsidR="00640956" w:rsidRDefault="0014600C" w:rsidP="003649D0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federally</w:t>
            </w:r>
            <w:r w:rsidR="00D471A1">
              <w:t xml:space="preserve"> insured financial institution</w:t>
            </w:r>
            <w:r>
              <w:t xml:space="preserve"> that is organized under the laws of </w:t>
            </w:r>
            <w:r w:rsidR="00D471A1">
              <w:t>Texas</w:t>
            </w:r>
            <w:r>
              <w:t>, an</w:t>
            </w:r>
            <w:r w:rsidR="00D471A1">
              <w:t>other state, or the U.S.</w:t>
            </w:r>
            <w:r>
              <w:t>, or an affiliate of the institution;</w:t>
            </w:r>
          </w:p>
          <w:p w14:paraId="2BFCEFCC" w14:textId="259F1715" w:rsidR="00640956" w:rsidRDefault="0014600C" w:rsidP="003649D0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person who has entered in</w:t>
            </w:r>
            <w:r w:rsidR="0050581E">
              <w:t>to a sponsorship agreement with</w:t>
            </w:r>
            <w:r w:rsidR="00813405">
              <w:t xml:space="preserve"> such</w:t>
            </w:r>
            <w:r w:rsidR="00D471A1">
              <w:t xml:space="preserve"> a federally insured financial institution</w:t>
            </w:r>
            <w:r>
              <w:t xml:space="preserve"> for the purpose of settling that entity's electronic payment transactions through a payment card network; or</w:t>
            </w:r>
          </w:p>
          <w:p w14:paraId="21883DE7" w14:textId="6345397F" w:rsidR="00640956" w:rsidRDefault="0014600C" w:rsidP="003649D0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payment card network that allows a person to accept a specific brand of debit or credit card by routing information and data to settl</w:t>
            </w:r>
            <w:r>
              <w:t xml:space="preserve">e an electronic payment transaction; </w:t>
            </w:r>
            <w:r w:rsidR="00813405">
              <w:t>and</w:t>
            </w:r>
          </w:p>
          <w:p w14:paraId="02BB83C4" w14:textId="7AF3E6CC" w:rsidR="00640956" w:rsidRDefault="0014600C" w:rsidP="003649D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for purposes of compliance with standards set by the Payment Card Industry Security Standards Council, services exclusively to encrypt electronic payment information for acceptance onto a payment card network that a</w:t>
            </w:r>
            <w:r>
              <w:t>llows a person to accept a specific brand of debit or credit card by routing information and data to settle an electronic payment transaction.</w:t>
            </w:r>
          </w:p>
          <w:p w14:paraId="14F7C800" w14:textId="59A4D7A5" w:rsidR="00D471A1" w:rsidRPr="009C36CD" w:rsidRDefault="0014600C" w:rsidP="003649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"settling of an electronic payment transaction" as the </w:t>
            </w:r>
            <w:r w:rsidRPr="00D471A1">
              <w:t xml:space="preserve">authorization, clearing, or funding of a </w:t>
            </w:r>
            <w:r w:rsidRPr="00D471A1">
              <w:t>payment made by credit card, debit card, gift card, stored value card, electronic check, virtual currency, loyalty program currency such as points or miles, or a similar method.</w:t>
            </w:r>
            <w:r>
              <w:t xml:space="preserve"> The term does not include charges by a marketplace provider </w:t>
            </w:r>
            <w:r w:rsidRPr="00D471A1">
              <w:t>who owns or operat</w:t>
            </w:r>
            <w:r w:rsidRPr="00D471A1">
              <w:t>es a marketplace and directly or indirectly processes sales or payments for marketplace sellers</w:t>
            </w:r>
            <w:r>
              <w:t>.</w:t>
            </w:r>
          </w:p>
          <w:p w14:paraId="00C05F73" w14:textId="77777777" w:rsidR="008423E4" w:rsidRPr="00835628" w:rsidRDefault="008423E4" w:rsidP="003649D0">
            <w:pPr>
              <w:rPr>
                <w:b/>
              </w:rPr>
            </w:pPr>
          </w:p>
        </w:tc>
      </w:tr>
      <w:tr w:rsidR="00A63174" w14:paraId="3E8ADE50" w14:textId="77777777" w:rsidTr="00345119">
        <w:tc>
          <w:tcPr>
            <w:tcW w:w="9576" w:type="dxa"/>
          </w:tcPr>
          <w:p w14:paraId="66FF5DDE" w14:textId="77777777" w:rsidR="008423E4" w:rsidRPr="00A8133F" w:rsidRDefault="0014600C" w:rsidP="003649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DC0FB44" w14:textId="77777777" w:rsidR="008423E4" w:rsidRDefault="008423E4" w:rsidP="003649D0"/>
          <w:p w14:paraId="1F7455F1" w14:textId="77777777" w:rsidR="008423E4" w:rsidRPr="003624F2" w:rsidRDefault="0014600C" w:rsidP="003649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October 1, 2021.</w:t>
            </w:r>
          </w:p>
          <w:p w14:paraId="4D11CA4E" w14:textId="77777777" w:rsidR="008423E4" w:rsidRPr="00233FDB" w:rsidRDefault="008423E4" w:rsidP="003649D0">
            <w:pPr>
              <w:rPr>
                <w:b/>
              </w:rPr>
            </w:pPr>
          </w:p>
        </w:tc>
      </w:tr>
      <w:tr w:rsidR="00A63174" w14:paraId="43F04D41" w14:textId="77777777" w:rsidTr="00345119">
        <w:tc>
          <w:tcPr>
            <w:tcW w:w="9576" w:type="dxa"/>
          </w:tcPr>
          <w:p w14:paraId="707F83F1" w14:textId="77777777" w:rsidR="00094E55" w:rsidRDefault="0014600C" w:rsidP="003649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6F5AF6E" w14:textId="77777777" w:rsidR="002D1AED" w:rsidRDefault="002D1AED" w:rsidP="003649D0">
            <w:pPr>
              <w:jc w:val="both"/>
            </w:pPr>
          </w:p>
          <w:p w14:paraId="7A580AF7" w14:textId="77777777" w:rsidR="002D1AED" w:rsidRDefault="0014600C" w:rsidP="003649D0">
            <w:pPr>
              <w:jc w:val="both"/>
            </w:pPr>
            <w:r>
              <w:t xml:space="preserve">While C.S.S.B. 153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14:paraId="1EA9972D" w14:textId="77777777" w:rsidR="002D1AED" w:rsidRDefault="002D1AED" w:rsidP="003649D0">
            <w:pPr>
              <w:jc w:val="both"/>
            </w:pPr>
          </w:p>
          <w:p w14:paraId="6B194D1F" w14:textId="0BA35160" w:rsidR="002D1AED" w:rsidRDefault="0014600C" w:rsidP="003649D0">
            <w:pPr>
              <w:jc w:val="both"/>
            </w:pPr>
            <w:r>
              <w:t xml:space="preserve">The </w:t>
            </w:r>
            <w:r w:rsidR="006B0969">
              <w:t xml:space="preserve">substitute and the </w:t>
            </w:r>
            <w:r w:rsidR="00226A1B">
              <w:t>engrossed</w:t>
            </w:r>
            <w:r>
              <w:t xml:space="preserve"> </w:t>
            </w:r>
            <w:r w:rsidR="006B0969">
              <w:t xml:space="preserve">both </w:t>
            </w:r>
            <w:r>
              <w:t xml:space="preserve">exclude from the definition of "data processing service" </w:t>
            </w:r>
            <w:r w:rsidR="00316DB7">
              <w:t xml:space="preserve">the </w:t>
            </w:r>
            <w:r w:rsidR="004A4F0D">
              <w:t xml:space="preserve">settling of an electronic payment transaction by a person who has entered into a sponsorship agreement with a federally insured financial institution for </w:t>
            </w:r>
            <w:r w:rsidR="006B0969">
              <w:t xml:space="preserve">certain </w:t>
            </w:r>
            <w:r w:rsidR="004A4F0D">
              <w:t>purpose</w:t>
            </w:r>
            <w:r w:rsidR="006B0969">
              <w:t xml:space="preserve">s relating to </w:t>
            </w:r>
            <w:r w:rsidR="004A4F0D">
              <w:t>that entity's electronic payment transactions through a payment card network</w:t>
            </w:r>
            <w:r w:rsidR="006B0969">
              <w:t>. The engrossed specified those purposes as relating to the processing of such transactions</w:t>
            </w:r>
            <w:r w:rsidR="004A4F0D">
              <w:t xml:space="preserve"> </w:t>
            </w:r>
            <w:r w:rsidR="00226A1B">
              <w:t xml:space="preserve">whereas the substitute </w:t>
            </w:r>
            <w:r w:rsidR="006B0969">
              <w:t>specifies those purposes as relating to the settling of such transactions.</w:t>
            </w:r>
          </w:p>
          <w:p w14:paraId="44B08BCF" w14:textId="77777777" w:rsidR="002D1AED" w:rsidRPr="002D1AED" w:rsidRDefault="002D1AED" w:rsidP="003649D0">
            <w:pPr>
              <w:jc w:val="both"/>
            </w:pPr>
          </w:p>
        </w:tc>
      </w:tr>
      <w:tr w:rsidR="00A63174" w14:paraId="00D51D39" w14:textId="77777777" w:rsidTr="00345119">
        <w:tc>
          <w:tcPr>
            <w:tcW w:w="9576" w:type="dxa"/>
          </w:tcPr>
          <w:p w14:paraId="74D09445" w14:textId="77777777" w:rsidR="00094E55" w:rsidRPr="009C1E9A" w:rsidRDefault="00094E55" w:rsidP="003649D0">
            <w:pPr>
              <w:rPr>
                <w:b/>
                <w:u w:val="single"/>
              </w:rPr>
            </w:pPr>
          </w:p>
        </w:tc>
      </w:tr>
      <w:tr w:rsidR="00A63174" w14:paraId="36ED8814" w14:textId="77777777" w:rsidTr="00345119">
        <w:tc>
          <w:tcPr>
            <w:tcW w:w="9576" w:type="dxa"/>
          </w:tcPr>
          <w:p w14:paraId="0ACEB474" w14:textId="77777777" w:rsidR="00094E55" w:rsidRPr="00094E55" w:rsidRDefault="00094E55" w:rsidP="003649D0">
            <w:pPr>
              <w:jc w:val="both"/>
            </w:pPr>
          </w:p>
        </w:tc>
      </w:tr>
    </w:tbl>
    <w:p w14:paraId="518A469C" w14:textId="77777777" w:rsidR="008423E4" w:rsidRPr="00BE0E75" w:rsidRDefault="008423E4" w:rsidP="003649D0">
      <w:pPr>
        <w:jc w:val="both"/>
        <w:rPr>
          <w:rFonts w:ascii="Arial" w:hAnsi="Arial"/>
          <w:sz w:val="16"/>
          <w:szCs w:val="16"/>
        </w:rPr>
      </w:pPr>
    </w:p>
    <w:p w14:paraId="40C3C103" w14:textId="77777777" w:rsidR="004108C3" w:rsidRPr="008423E4" w:rsidRDefault="004108C3" w:rsidP="003649D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4AFA" w14:textId="77777777" w:rsidR="00000000" w:rsidRDefault="0014600C">
      <w:r>
        <w:separator/>
      </w:r>
    </w:p>
  </w:endnote>
  <w:endnote w:type="continuationSeparator" w:id="0">
    <w:p w14:paraId="40196D59" w14:textId="77777777" w:rsidR="00000000" w:rsidRDefault="001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458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3174" w14:paraId="49A385A9" w14:textId="77777777" w:rsidTr="009C1E9A">
      <w:trPr>
        <w:cantSplit/>
      </w:trPr>
      <w:tc>
        <w:tcPr>
          <w:tcW w:w="0" w:type="pct"/>
        </w:tcPr>
        <w:p w14:paraId="4DDABC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7775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E83AD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2526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4441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3174" w14:paraId="2558A082" w14:textId="77777777" w:rsidTr="009C1E9A">
      <w:trPr>
        <w:cantSplit/>
      </w:trPr>
      <w:tc>
        <w:tcPr>
          <w:tcW w:w="0" w:type="pct"/>
        </w:tcPr>
        <w:p w14:paraId="214B71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50CB53" w14:textId="77777777" w:rsidR="00EC379B" w:rsidRPr="009C1E9A" w:rsidRDefault="001460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25438</w:t>
          </w:r>
        </w:p>
      </w:tc>
      <w:tc>
        <w:tcPr>
          <w:tcW w:w="2453" w:type="pct"/>
        </w:tcPr>
        <w:p w14:paraId="44950E76" w14:textId="22A0B5E7" w:rsidR="00EC379B" w:rsidRDefault="001460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60941">
            <w:t>21.130.459</w:t>
          </w:r>
          <w:r>
            <w:fldChar w:fldCharType="end"/>
          </w:r>
        </w:p>
      </w:tc>
    </w:tr>
    <w:tr w:rsidR="00A63174" w14:paraId="22901454" w14:textId="77777777" w:rsidTr="009C1E9A">
      <w:trPr>
        <w:cantSplit/>
      </w:trPr>
      <w:tc>
        <w:tcPr>
          <w:tcW w:w="0" w:type="pct"/>
        </w:tcPr>
        <w:p w14:paraId="5412545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39B75D" w14:textId="77777777" w:rsidR="00EC379B" w:rsidRPr="009C1E9A" w:rsidRDefault="001460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21553</w:t>
          </w:r>
        </w:p>
      </w:tc>
      <w:tc>
        <w:tcPr>
          <w:tcW w:w="2453" w:type="pct"/>
        </w:tcPr>
        <w:p w14:paraId="673C420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DBCE4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3174" w14:paraId="1151D7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689BA2" w14:textId="778151D7" w:rsidR="00EC379B" w:rsidRDefault="001460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649D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42743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C1767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254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225D" w14:textId="77777777" w:rsidR="00000000" w:rsidRDefault="0014600C">
      <w:r>
        <w:separator/>
      </w:r>
    </w:p>
  </w:footnote>
  <w:footnote w:type="continuationSeparator" w:id="0">
    <w:p w14:paraId="73A12337" w14:textId="77777777" w:rsidR="00000000" w:rsidRDefault="0014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705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7E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822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6E1"/>
    <w:multiLevelType w:val="hybridMultilevel"/>
    <w:tmpl w:val="4FC46374"/>
    <w:lvl w:ilvl="0" w:tplc="9B42B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62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07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66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A6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D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6E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E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8C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5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E55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00C"/>
    <w:rsid w:val="00147530"/>
    <w:rsid w:val="0015331F"/>
    <w:rsid w:val="00156AB2"/>
    <w:rsid w:val="00160402"/>
    <w:rsid w:val="00160571"/>
    <w:rsid w:val="0016094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6F73"/>
    <w:rsid w:val="00217466"/>
    <w:rsid w:val="0021751D"/>
    <w:rsid w:val="00217C49"/>
    <w:rsid w:val="0022177D"/>
    <w:rsid w:val="00224C37"/>
    <w:rsid w:val="00226A1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AED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DB7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9D0"/>
    <w:rsid w:val="00370155"/>
    <w:rsid w:val="003712D5"/>
    <w:rsid w:val="00374728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F0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2A8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81E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956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969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703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32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405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174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910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35A"/>
    <w:rsid w:val="00C72956"/>
    <w:rsid w:val="00C729DD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A01"/>
    <w:rsid w:val="00D32054"/>
    <w:rsid w:val="00D35728"/>
    <w:rsid w:val="00D37BCF"/>
    <w:rsid w:val="00D40F93"/>
    <w:rsid w:val="00D42277"/>
    <w:rsid w:val="00D43C59"/>
    <w:rsid w:val="00D44ADE"/>
    <w:rsid w:val="00D471A1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4C5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33B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E2A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98200B-A5E7-4E23-B44D-A8ED461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7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1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1A1"/>
    <w:rPr>
      <w:b/>
      <w:bCs/>
    </w:rPr>
  </w:style>
  <w:style w:type="paragraph" w:styleId="Revision">
    <w:name w:val="Revision"/>
    <w:hidden/>
    <w:uiPriority w:val="99"/>
    <w:semiHidden/>
    <w:rsid w:val="00D471A1"/>
    <w:rPr>
      <w:sz w:val="24"/>
      <w:szCs w:val="24"/>
    </w:rPr>
  </w:style>
  <w:style w:type="character" w:styleId="Hyperlink">
    <w:name w:val="Hyperlink"/>
    <w:basedOn w:val="DefaultParagraphFont"/>
    <w:unhideWhenUsed/>
    <w:rsid w:val="00D47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13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4030</Characters>
  <Application>Microsoft Office Word</Application>
  <DocSecurity>4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SB00153 (Committee Report (Substituted))</vt:lpstr>
    </vt:vector>
  </TitlesOfParts>
  <Company>State of Texas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25438</dc:subject>
  <dc:creator>State of Texas</dc:creator>
  <dc:description>SB 153 by Perry-(H)Ways &amp; Means (Substitute Document Number: 87R 21553)</dc:description>
  <cp:lastModifiedBy>Lauren Bustamante</cp:lastModifiedBy>
  <cp:revision>2</cp:revision>
  <cp:lastPrinted>2003-11-26T17:21:00Z</cp:lastPrinted>
  <dcterms:created xsi:type="dcterms:W3CDTF">2021-05-12T17:03:00Z</dcterms:created>
  <dcterms:modified xsi:type="dcterms:W3CDTF">2021-05-12T17:03:00Z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21.130.459</vt:lpwstr>
  </property>
</Properties>
</file>