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CB6531" w14:paraId="7A3685AF" w14:textId="77777777" w:rsidTr="00345119">
        <w:tc>
          <w:tcPr>
            <w:tcW w:w="9576" w:type="dxa"/>
            <w:noWrap/>
          </w:tcPr>
          <w:p w14:paraId="65795173" w14:textId="77777777" w:rsidR="008423E4" w:rsidRPr="0022177D" w:rsidRDefault="00C01BF2" w:rsidP="00C21BCB">
            <w:pPr>
              <w:pStyle w:val="Heading1"/>
            </w:pPr>
            <w:bookmarkStart w:id="0" w:name="_GoBack"/>
            <w:bookmarkEnd w:id="0"/>
            <w:r w:rsidRPr="00631897">
              <w:t>BILL ANALYSIS</w:t>
            </w:r>
          </w:p>
        </w:tc>
      </w:tr>
    </w:tbl>
    <w:p w14:paraId="18B393C5" w14:textId="77777777" w:rsidR="008423E4" w:rsidRPr="0022177D" w:rsidRDefault="008423E4" w:rsidP="00C21BCB">
      <w:pPr>
        <w:jc w:val="center"/>
      </w:pPr>
    </w:p>
    <w:p w14:paraId="3C38B685" w14:textId="77777777" w:rsidR="008423E4" w:rsidRPr="00B31F0E" w:rsidRDefault="008423E4" w:rsidP="00C21BCB"/>
    <w:p w14:paraId="66BEF0DE" w14:textId="77777777" w:rsidR="008423E4" w:rsidRPr="00742794" w:rsidRDefault="008423E4" w:rsidP="00C21BCB">
      <w:pPr>
        <w:tabs>
          <w:tab w:val="right" w:pos="9360"/>
        </w:tabs>
      </w:pPr>
    </w:p>
    <w:tbl>
      <w:tblPr>
        <w:tblW w:w="0" w:type="auto"/>
        <w:tblLayout w:type="fixed"/>
        <w:tblLook w:val="01E0" w:firstRow="1" w:lastRow="1" w:firstColumn="1" w:lastColumn="1" w:noHBand="0" w:noVBand="0"/>
      </w:tblPr>
      <w:tblGrid>
        <w:gridCol w:w="9576"/>
      </w:tblGrid>
      <w:tr w:rsidR="00CB6531" w14:paraId="0ACFF0A6" w14:textId="77777777" w:rsidTr="00345119">
        <w:tc>
          <w:tcPr>
            <w:tcW w:w="9576" w:type="dxa"/>
          </w:tcPr>
          <w:p w14:paraId="462B6BB6" w14:textId="77777777" w:rsidR="008423E4" w:rsidRPr="00861995" w:rsidRDefault="00C01BF2" w:rsidP="00C21BCB">
            <w:pPr>
              <w:jc w:val="right"/>
            </w:pPr>
            <w:r>
              <w:t>S.B. 157</w:t>
            </w:r>
          </w:p>
        </w:tc>
      </w:tr>
      <w:tr w:rsidR="00CB6531" w14:paraId="1DA09B1F" w14:textId="77777777" w:rsidTr="00345119">
        <w:tc>
          <w:tcPr>
            <w:tcW w:w="9576" w:type="dxa"/>
          </w:tcPr>
          <w:p w14:paraId="664FC760" w14:textId="77777777" w:rsidR="008423E4" w:rsidRPr="00861995" w:rsidRDefault="00C01BF2" w:rsidP="00C21BCB">
            <w:pPr>
              <w:jc w:val="right"/>
            </w:pPr>
            <w:r>
              <w:t xml:space="preserve">By: </w:t>
            </w:r>
            <w:r w:rsidR="009F470C">
              <w:t>Perry</w:t>
            </w:r>
          </w:p>
        </w:tc>
      </w:tr>
      <w:tr w:rsidR="00CB6531" w14:paraId="02D7583E" w14:textId="77777777" w:rsidTr="00345119">
        <w:tc>
          <w:tcPr>
            <w:tcW w:w="9576" w:type="dxa"/>
          </w:tcPr>
          <w:p w14:paraId="356BC7A8" w14:textId="77777777" w:rsidR="008423E4" w:rsidRPr="00861995" w:rsidRDefault="00C01BF2" w:rsidP="00C21BCB">
            <w:pPr>
              <w:jc w:val="right"/>
            </w:pPr>
            <w:r>
              <w:t>Land &amp; Resource Management</w:t>
            </w:r>
          </w:p>
        </w:tc>
      </w:tr>
      <w:tr w:rsidR="00CB6531" w14:paraId="1617A0AD" w14:textId="77777777" w:rsidTr="00345119">
        <w:tc>
          <w:tcPr>
            <w:tcW w:w="9576" w:type="dxa"/>
          </w:tcPr>
          <w:p w14:paraId="1A60FEB2" w14:textId="77777777" w:rsidR="008423E4" w:rsidRDefault="00C01BF2" w:rsidP="00C21BCB">
            <w:pPr>
              <w:jc w:val="right"/>
            </w:pPr>
            <w:r>
              <w:t>Committee Report (Unamended)</w:t>
            </w:r>
          </w:p>
        </w:tc>
      </w:tr>
    </w:tbl>
    <w:p w14:paraId="237BC532" w14:textId="77777777" w:rsidR="008423E4" w:rsidRDefault="008423E4" w:rsidP="00C21BCB">
      <w:pPr>
        <w:tabs>
          <w:tab w:val="right" w:pos="9360"/>
        </w:tabs>
      </w:pPr>
    </w:p>
    <w:p w14:paraId="5E48D96B" w14:textId="77777777" w:rsidR="008423E4" w:rsidRDefault="008423E4" w:rsidP="00C21BCB"/>
    <w:p w14:paraId="2BC9B7F0" w14:textId="77777777" w:rsidR="008423E4" w:rsidRDefault="008423E4" w:rsidP="00C21BCB"/>
    <w:tbl>
      <w:tblPr>
        <w:tblW w:w="0" w:type="auto"/>
        <w:tblCellMar>
          <w:left w:w="115" w:type="dxa"/>
          <w:right w:w="115" w:type="dxa"/>
        </w:tblCellMar>
        <w:tblLook w:val="01E0" w:firstRow="1" w:lastRow="1" w:firstColumn="1" w:lastColumn="1" w:noHBand="0" w:noVBand="0"/>
      </w:tblPr>
      <w:tblGrid>
        <w:gridCol w:w="9360"/>
      </w:tblGrid>
      <w:tr w:rsidR="00CB6531" w14:paraId="76EB7937" w14:textId="77777777" w:rsidTr="00345119">
        <w:tc>
          <w:tcPr>
            <w:tcW w:w="9576" w:type="dxa"/>
          </w:tcPr>
          <w:p w14:paraId="74A23266" w14:textId="77777777" w:rsidR="008423E4" w:rsidRPr="00A8133F" w:rsidRDefault="00C01BF2" w:rsidP="00C21BCB">
            <w:pPr>
              <w:rPr>
                <w:b/>
              </w:rPr>
            </w:pPr>
            <w:r w:rsidRPr="009C1E9A">
              <w:rPr>
                <w:b/>
                <w:u w:val="single"/>
              </w:rPr>
              <w:t>BACKGROUND AND PURPOSE</w:t>
            </w:r>
            <w:r>
              <w:rPr>
                <w:b/>
              </w:rPr>
              <w:t xml:space="preserve"> </w:t>
            </w:r>
          </w:p>
          <w:p w14:paraId="0D746673" w14:textId="77777777" w:rsidR="008423E4" w:rsidRDefault="008423E4" w:rsidP="00C21BCB"/>
          <w:p w14:paraId="458AF2C3" w14:textId="3D61F180" w:rsidR="008423E4" w:rsidRDefault="00C01BF2" w:rsidP="00C21BCB">
            <w:pPr>
              <w:pStyle w:val="Header"/>
              <w:tabs>
                <w:tab w:val="clear" w:pos="4320"/>
                <w:tab w:val="clear" w:pos="8640"/>
              </w:tabs>
              <w:jc w:val="both"/>
            </w:pPr>
            <w:r>
              <w:t>Public and private entities that have been authorized to exercise</w:t>
            </w:r>
            <w:r w:rsidR="009F470C">
              <w:t xml:space="preserve"> eminent domain authority </w:t>
            </w:r>
            <w:r>
              <w:t xml:space="preserve">must annually submit a report </w:t>
            </w:r>
            <w:r>
              <w:t>containing certain information</w:t>
            </w:r>
            <w:r w:rsidR="009F470C">
              <w:t xml:space="preserve"> </w:t>
            </w:r>
            <w:r w:rsidR="00934349">
              <w:t xml:space="preserve">to </w:t>
            </w:r>
            <w:r w:rsidR="009F470C">
              <w:t xml:space="preserve">the </w:t>
            </w:r>
            <w:r>
              <w:t>c</w:t>
            </w:r>
            <w:r w:rsidR="009F470C">
              <w:t xml:space="preserve">omptroller of </w:t>
            </w:r>
            <w:r>
              <w:t>p</w:t>
            </w:r>
            <w:r w:rsidR="009F470C">
              <w:t xml:space="preserve">ublic </w:t>
            </w:r>
            <w:r>
              <w:t>a</w:t>
            </w:r>
            <w:r w:rsidR="009F470C">
              <w:t>ccounts</w:t>
            </w:r>
            <w:r>
              <w:t>. An entity that does not comply with this requirement is liable to the state for a civil penalty of $1,000.</w:t>
            </w:r>
            <w:r w:rsidR="009F470C">
              <w:t xml:space="preserve"> </w:t>
            </w:r>
            <w:r w:rsidR="003E2BBE">
              <w:t>For smaller political subdivisions</w:t>
            </w:r>
            <w:r w:rsidR="009F470C">
              <w:t xml:space="preserve">, much of this </w:t>
            </w:r>
            <w:r>
              <w:t xml:space="preserve">reporting </w:t>
            </w:r>
            <w:r w:rsidR="009F470C">
              <w:t>process is done manually and the penalty is significant in relation to the</w:t>
            </w:r>
            <w:r w:rsidR="003E2BBE">
              <w:t xml:space="preserve"> subdivision's</w:t>
            </w:r>
            <w:r w:rsidR="009F470C">
              <w:t xml:space="preserve"> overall budget. </w:t>
            </w:r>
            <w:r w:rsidR="003E2BBE">
              <w:t>S.B. 157 seeks to alleviate the burden on certain smaller political subdivisions by allowing these subdivisions to confirm the accuracy of a prior year's report to the comptroller if nothing has changed to warrant the submission of a new report.</w:t>
            </w:r>
          </w:p>
          <w:p w14:paraId="7E900A63" w14:textId="77777777" w:rsidR="008423E4" w:rsidRPr="00E26B13" w:rsidRDefault="008423E4" w:rsidP="00C21BCB">
            <w:pPr>
              <w:rPr>
                <w:b/>
              </w:rPr>
            </w:pPr>
          </w:p>
        </w:tc>
      </w:tr>
      <w:tr w:rsidR="00CB6531" w14:paraId="79589912" w14:textId="77777777" w:rsidTr="00345119">
        <w:tc>
          <w:tcPr>
            <w:tcW w:w="9576" w:type="dxa"/>
          </w:tcPr>
          <w:p w14:paraId="4296198F" w14:textId="77777777" w:rsidR="0017725B" w:rsidRDefault="00C01BF2" w:rsidP="00C21BCB">
            <w:pPr>
              <w:rPr>
                <w:b/>
                <w:u w:val="single"/>
              </w:rPr>
            </w:pPr>
            <w:r>
              <w:rPr>
                <w:b/>
                <w:u w:val="single"/>
              </w:rPr>
              <w:t>CRIMINAL JUSTICE IMPACT</w:t>
            </w:r>
          </w:p>
          <w:p w14:paraId="135F500E" w14:textId="77777777" w:rsidR="0017725B" w:rsidRDefault="0017725B" w:rsidP="00C21BCB">
            <w:pPr>
              <w:rPr>
                <w:b/>
                <w:u w:val="single"/>
              </w:rPr>
            </w:pPr>
          </w:p>
          <w:p w14:paraId="4A8ED90A" w14:textId="77777777" w:rsidR="009F470C" w:rsidRPr="009F470C" w:rsidRDefault="00C01BF2" w:rsidP="00C21BCB">
            <w:pPr>
              <w:jc w:val="both"/>
            </w:pPr>
            <w:r>
              <w:t>It is the committee's opinion that this bill does not expressly create a criminal offense, increase the punishment for an existing criminal offense or cat</w:t>
            </w:r>
            <w:r>
              <w:t>egory of offenses, or change the eligibility of a person for community supervision, parole, or mandatory supervision.</w:t>
            </w:r>
          </w:p>
          <w:p w14:paraId="65293810" w14:textId="77777777" w:rsidR="0017725B" w:rsidRPr="0017725B" w:rsidRDefault="0017725B" w:rsidP="00C21BCB">
            <w:pPr>
              <w:rPr>
                <w:b/>
                <w:u w:val="single"/>
              </w:rPr>
            </w:pPr>
          </w:p>
        </w:tc>
      </w:tr>
      <w:tr w:rsidR="00CB6531" w14:paraId="2124461D" w14:textId="77777777" w:rsidTr="00345119">
        <w:tc>
          <w:tcPr>
            <w:tcW w:w="9576" w:type="dxa"/>
          </w:tcPr>
          <w:p w14:paraId="56F550E2" w14:textId="77777777" w:rsidR="008423E4" w:rsidRPr="00A8133F" w:rsidRDefault="00C01BF2" w:rsidP="00C21BCB">
            <w:pPr>
              <w:rPr>
                <w:b/>
              </w:rPr>
            </w:pPr>
            <w:r w:rsidRPr="009C1E9A">
              <w:rPr>
                <w:b/>
                <w:u w:val="single"/>
              </w:rPr>
              <w:t>RULEMAKING AUTHORITY</w:t>
            </w:r>
            <w:r>
              <w:rPr>
                <w:b/>
              </w:rPr>
              <w:t xml:space="preserve"> </w:t>
            </w:r>
          </w:p>
          <w:p w14:paraId="1C2CC5FF" w14:textId="77777777" w:rsidR="008423E4" w:rsidRDefault="008423E4" w:rsidP="00C21BCB"/>
          <w:p w14:paraId="7CB47D95" w14:textId="77777777" w:rsidR="009F470C" w:rsidRDefault="00C01BF2" w:rsidP="00C21BCB">
            <w:pPr>
              <w:pStyle w:val="Header"/>
              <w:tabs>
                <w:tab w:val="clear" w:pos="4320"/>
                <w:tab w:val="clear" w:pos="8640"/>
              </w:tabs>
              <w:jc w:val="both"/>
            </w:pPr>
            <w:r>
              <w:t>It is the committee's opinion that this bill does not expressly grant any additional rulemaking authority to a st</w:t>
            </w:r>
            <w:r>
              <w:t>ate officer, department, agency, or institution.</w:t>
            </w:r>
          </w:p>
          <w:p w14:paraId="3342B4F1" w14:textId="77777777" w:rsidR="008423E4" w:rsidRPr="00E21FDC" w:rsidRDefault="008423E4" w:rsidP="00C21BCB">
            <w:pPr>
              <w:rPr>
                <w:b/>
              </w:rPr>
            </w:pPr>
          </w:p>
        </w:tc>
      </w:tr>
      <w:tr w:rsidR="00CB6531" w14:paraId="6FA7D58A" w14:textId="77777777" w:rsidTr="00345119">
        <w:tc>
          <w:tcPr>
            <w:tcW w:w="9576" w:type="dxa"/>
          </w:tcPr>
          <w:p w14:paraId="07A281BB" w14:textId="77777777" w:rsidR="008423E4" w:rsidRPr="00A8133F" w:rsidRDefault="00C01BF2" w:rsidP="00C21BCB">
            <w:pPr>
              <w:rPr>
                <w:b/>
              </w:rPr>
            </w:pPr>
            <w:r w:rsidRPr="009C1E9A">
              <w:rPr>
                <w:b/>
                <w:u w:val="single"/>
              </w:rPr>
              <w:t>ANALYSIS</w:t>
            </w:r>
            <w:r>
              <w:rPr>
                <w:b/>
              </w:rPr>
              <w:t xml:space="preserve"> </w:t>
            </w:r>
          </w:p>
          <w:p w14:paraId="0057A972" w14:textId="77777777" w:rsidR="008423E4" w:rsidRDefault="008423E4" w:rsidP="00C21BCB"/>
          <w:p w14:paraId="3E0C2AF8" w14:textId="4A9BD970" w:rsidR="009C36CD" w:rsidRPr="009C36CD" w:rsidRDefault="00C01BF2" w:rsidP="00C21BCB">
            <w:pPr>
              <w:pStyle w:val="Header"/>
              <w:jc w:val="both"/>
            </w:pPr>
            <w:r>
              <w:t xml:space="preserve">S.B. 157 amends the Government Code to condition the requirement for a public school district located in a county with a population of less than 25,000 or a municipality or county with a population of less than 25,000 to submit an annual report </w:t>
            </w:r>
            <w:r w:rsidR="00D74782">
              <w:t xml:space="preserve">containing records and other information </w:t>
            </w:r>
            <w:r w:rsidR="00934349">
              <w:t>for purposes of the eminent domain database maintained by</w:t>
            </w:r>
            <w:r>
              <w:t xml:space="preserve"> the comptroller of</w:t>
            </w:r>
            <w:r w:rsidR="00941D53">
              <w:t xml:space="preserve"> public accounts</w:t>
            </w:r>
            <w:r>
              <w:t xml:space="preserve"> </w:t>
            </w:r>
            <w:r w:rsidR="00934349">
              <w:t>only if the relevant</w:t>
            </w:r>
            <w:r w:rsidRPr="009F470C">
              <w:t xml:space="preserve"> information</w:t>
            </w:r>
            <w:r w:rsidR="0061102B">
              <w:t xml:space="preserve"> has</w:t>
            </w:r>
            <w:r w:rsidRPr="009F470C">
              <w:t xml:space="preserve"> changed from the information reported in the most recent report filed </w:t>
            </w:r>
            <w:r>
              <w:t>with the comptroller</w:t>
            </w:r>
            <w:r w:rsidRPr="009F470C">
              <w:t>. If f</w:t>
            </w:r>
            <w:r w:rsidRPr="009F470C">
              <w:t xml:space="preserve">or the current annual reporting period the subdivision's information is the same as the information reflected for the subdivision in the eminent domain database for the previous annual reporting period, the political subdivision, not later than February 1 </w:t>
            </w:r>
            <w:r w:rsidRPr="009F470C">
              <w:t xml:space="preserve">of the current annual reporting period, </w:t>
            </w:r>
            <w:r>
              <w:t>must</w:t>
            </w:r>
            <w:r w:rsidRPr="009F470C">
              <w:t xml:space="preserve"> confirm the accuracy of the information by electronically updating the subdivision's previously filed report with the comptroller in the manner prescribed by the comptroller.</w:t>
            </w:r>
          </w:p>
          <w:p w14:paraId="73D93A8B" w14:textId="77777777" w:rsidR="008423E4" w:rsidRPr="00835628" w:rsidRDefault="008423E4" w:rsidP="00C21BCB">
            <w:pPr>
              <w:rPr>
                <w:b/>
              </w:rPr>
            </w:pPr>
          </w:p>
        </w:tc>
      </w:tr>
      <w:tr w:rsidR="00CB6531" w14:paraId="16FBE1D4" w14:textId="77777777" w:rsidTr="00345119">
        <w:tc>
          <w:tcPr>
            <w:tcW w:w="9576" w:type="dxa"/>
          </w:tcPr>
          <w:p w14:paraId="14B7F078" w14:textId="77777777" w:rsidR="008423E4" w:rsidRPr="00A8133F" w:rsidRDefault="00C01BF2" w:rsidP="00C21BCB">
            <w:pPr>
              <w:rPr>
                <w:b/>
              </w:rPr>
            </w:pPr>
            <w:r w:rsidRPr="009C1E9A">
              <w:rPr>
                <w:b/>
                <w:u w:val="single"/>
              </w:rPr>
              <w:t>EFFECTIVE DATE</w:t>
            </w:r>
            <w:r>
              <w:rPr>
                <w:b/>
              </w:rPr>
              <w:t xml:space="preserve"> </w:t>
            </w:r>
          </w:p>
          <w:p w14:paraId="6F90DD45" w14:textId="77777777" w:rsidR="008423E4" w:rsidRDefault="008423E4" w:rsidP="00C21BCB"/>
          <w:p w14:paraId="23858A51" w14:textId="77777777" w:rsidR="008423E4" w:rsidRPr="003624F2" w:rsidRDefault="00C01BF2" w:rsidP="00C21BCB">
            <w:pPr>
              <w:pStyle w:val="Header"/>
              <w:tabs>
                <w:tab w:val="clear" w:pos="4320"/>
                <w:tab w:val="clear" w:pos="8640"/>
              </w:tabs>
              <w:jc w:val="both"/>
            </w:pPr>
            <w:r>
              <w:t>September 1, 2021</w:t>
            </w:r>
            <w:r>
              <w:t>.</w:t>
            </w:r>
          </w:p>
          <w:p w14:paraId="55180EC8" w14:textId="77777777" w:rsidR="008423E4" w:rsidRPr="00233FDB" w:rsidRDefault="008423E4" w:rsidP="00C21BCB">
            <w:pPr>
              <w:rPr>
                <w:b/>
              </w:rPr>
            </w:pPr>
          </w:p>
        </w:tc>
      </w:tr>
    </w:tbl>
    <w:p w14:paraId="58134D51" w14:textId="77777777" w:rsidR="008423E4" w:rsidRPr="00BE0E75" w:rsidRDefault="008423E4" w:rsidP="00C21BCB">
      <w:pPr>
        <w:jc w:val="both"/>
        <w:rPr>
          <w:rFonts w:ascii="Arial" w:hAnsi="Arial"/>
          <w:sz w:val="16"/>
          <w:szCs w:val="16"/>
        </w:rPr>
      </w:pPr>
    </w:p>
    <w:p w14:paraId="778A0B51" w14:textId="77777777" w:rsidR="004108C3" w:rsidRPr="008423E4" w:rsidRDefault="004108C3" w:rsidP="00C21BCB"/>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1F561" w14:textId="77777777" w:rsidR="00000000" w:rsidRDefault="00C01BF2">
      <w:r>
        <w:separator/>
      </w:r>
    </w:p>
  </w:endnote>
  <w:endnote w:type="continuationSeparator" w:id="0">
    <w:p w14:paraId="4694CB16" w14:textId="77777777" w:rsidR="00000000" w:rsidRDefault="00C0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1BE8D"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CB6531" w14:paraId="02C171B2" w14:textId="77777777" w:rsidTr="009C1E9A">
      <w:trPr>
        <w:cantSplit/>
      </w:trPr>
      <w:tc>
        <w:tcPr>
          <w:tcW w:w="0" w:type="pct"/>
        </w:tcPr>
        <w:p w14:paraId="2D4B7D9D" w14:textId="77777777" w:rsidR="00137D90" w:rsidRDefault="00137D90" w:rsidP="009C1E9A">
          <w:pPr>
            <w:pStyle w:val="Footer"/>
            <w:tabs>
              <w:tab w:val="clear" w:pos="8640"/>
              <w:tab w:val="right" w:pos="9360"/>
            </w:tabs>
          </w:pPr>
        </w:p>
      </w:tc>
      <w:tc>
        <w:tcPr>
          <w:tcW w:w="2395" w:type="pct"/>
        </w:tcPr>
        <w:p w14:paraId="441EA935" w14:textId="77777777" w:rsidR="00137D90" w:rsidRDefault="00137D90" w:rsidP="009C1E9A">
          <w:pPr>
            <w:pStyle w:val="Footer"/>
            <w:tabs>
              <w:tab w:val="clear" w:pos="8640"/>
              <w:tab w:val="right" w:pos="9360"/>
            </w:tabs>
          </w:pPr>
        </w:p>
        <w:p w14:paraId="674E206E" w14:textId="77777777" w:rsidR="001A4310" w:rsidRDefault="001A4310" w:rsidP="009C1E9A">
          <w:pPr>
            <w:pStyle w:val="Footer"/>
            <w:tabs>
              <w:tab w:val="clear" w:pos="8640"/>
              <w:tab w:val="right" w:pos="9360"/>
            </w:tabs>
          </w:pPr>
        </w:p>
        <w:p w14:paraId="3B3F156C" w14:textId="77777777" w:rsidR="00137D90" w:rsidRDefault="00137D90" w:rsidP="009C1E9A">
          <w:pPr>
            <w:pStyle w:val="Footer"/>
            <w:tabs>
              <w:tab w:val="clear" w:pos="8640"/>
              <w:tab w:val="right" w:pos="9360"/>
            </w:tabs>
          </w:pPr>
        </w:p>
      </w:tc>
      <w:tc>
        <w:tcPr>
          <w:tcW w:w="2453" w:type="pct"/>
        </w:tcPr>
        <w:p w14:paraId="7E259491" w14:textId="77777777" w:rsidR="00137D90" w:rsidRDefault="00137D90" w:rsidP="009C1E9A">
          <w:pPr>
            <w:pStyle w:val="Footer"/>
            <w:tabs>
              <w:tab w:val="clear" w:pos="8640"/>
              <w:tab w:val="right" w:pos="9360"/>
            </w:tabs>
            <w:jc w:val="right"/>
          </w:pPr>
        </w:p>
      </w:tc>
    </w:tr>
    <w:tr w:rsidR="00CB6531" w14:paraId="172422F3" w14:textId="77777777" w:rsidTr="009C1E9A">
      <w:trPr>
        <w:cantSplit/>
      </w:trPr>
      <w:tc>
        <w:tcPr>
          <w:tcW w:w="0" w:type="pct"/>
        </w:tcPr>
        <w:p w14:paraId="5233663F" w14:textId="77777777" w:rsidR="00EC379B" w:rsidRDefault="00EC379B" w:rsidP="009C1E9A">
          <w:pPr>
            <w:pStyle w:val="Footer"/>
            <w:tabs>
              <w:tab w:val="clear" w:pos="8640"/>
              <w:tab w:val="right" w:pos="9360"/>
            </w:tabs>
          </w:pPr>
        </w:p>
      </w:tc>
      <w:tc>
        <w:tcPr>
          <w:tcW w:w="2395" w:type="pct"/>
        </w:tcPr>
        <w:p w14:paraId="18E65BA7" w14:textId="77777777" w:rsidR="00EC379B" w:rsidRPr="009C1E9A" w:rsidRDefault="00C01BF2" w:rsidP="009C1E9A">
          <w:pPr>
            <w:pStyle w:val="Footer"/>
            <w:tabs>
              <w:tab w:val="clear" w:pos="8640"/>
              <w:tab w:val="right" w:pos="9360"/>
            </w:tabs>
            <w:rPr>
              <w:rFonts w:ascii="Shruti" w:hAnsi="Shruti"/>
              <w:sz w:val="22"/>
            </w:rPr>
          </w:pPr>
          <w:r>
            <w:rPr>
              <w:rFonts w:ascii="Shruti" w:hAnsi="Shruti"/>
              <w:sz w:val="22"/>
            </w:rPr>
            <w:t>87R 24353</w:t>
          </w:r>
        </w:p>
      </w:tc>
      <w:tc>
        <w:tcPr>
          <w:tcW w:w="2453" w:type="pct"/>
        </w:tcPr>
        <w:p w14:paraId="5856DB33" w14:textId="68C449BF" w:rsidR="00EC379B" w:rsidRDefault="00C01BF2" w:rsidP="009C1E9A">
          <w:pPr>
            <w:pStyle w:val="Footer"/>
            <w:tabs>
              <w:tab w:val="clear" w:pos="8640"/>
              <w:tab w:val="right" w:pos="9360"/>
            </w:tabs>
            <w:jc w:val="right"/>
          </w:pPr>
          <w:r>
            <w:fldChar w:fldCharType="begin"/>
          </w:r>
          <w:r>
            <w:instrText xml:space="preserve"> DOCPROPERTY  OTID  \* MERGEFORMAT </w:instrText>
          </w:r>
          <w:r>
            <w:fldChar w:fldCharType="separate"/>
          </w:r>
          <w:r w:rsidR="009B1093">
            <w:t>21.127.678</w:t>
          </w:r>
          <w:r>
            <w:fldChar w:fldCharType="end"/>
          </w:r>
        </w:p>
      </w:tc>
    </w:tr>
    <w:tr w:rsidR="00CB6531" w14:paraId="2A7CA216" w14:textId="77777777" w:rsidTr="009C1E9A">
      <w:trPr>
        <w:cantSplit/>
      </w:trPr>
      <w:tc>
        <w:tcPr>
          <w:tcW w:w="0" w:type="pct"/>
        </w:tcPr>
        <w:p w14:paraId="605D7B93" w14:textId="77777777" w:rsidR="00EC379B" w:rsidRDefault="00EC379B" w:rsidP="009C1E9A">
          <w:pPr>
            <w:pStyle w:val="Footer"/>
            <w:tabs>
              <w:tab w:val="clear" w:pos="4320"/>
              <w:tab w:val="clear" w:pos="8640"/>
              <w:tab w:val="left" w:pos="2865"/>
            </w:tabs>
          </w:pPr>
        </w:p>
      </w:tc>
      <w:tc>
        <w:tcPr>
          <w:tcW w:w="2395" w:type="pct"/>
        </w:tcPr>
        <w:p w14:paraId="7D5A923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6A728D6" w14:textId="77777777" w:rsidR="00EC379B" w:rsidRDefault="00EC379B" w:rsidP="006D504F">
          <w:pPr>
            <w:pStyle w:val="Footer"/>
            <w:rPr>
              <w:rStyle w:val="PageNumber"/>
            </w:rPr>
          </w:pPr>
        </w:p>
        <w:p w14:paraId="25D654B6" w14:textId="77777777" w:rsidR="00EC379B" w:rsidRDefault="00EC379B" w:rsidP="009C1E9A">
          <w:pPr>
            <w:pStyle w:val="Footer"/>
            <w:tabs>
              <w:tab w:val="clear" w:pos="8640"/>
              <w:tab w:val="right" w:pos="9360"/>
            </w:tabs>
            <w:jc w:val="right"/>
          </w:pPr>
        </w:p>
      </w:tc>
    </w:tr>
    <w:tr w:rsidR="00CB6531" w14:paraId="572F0251" w14:textId="77777777" w:rsidTr="009C1E9A">
      <w:trPr>
        <w:cantSplit/>
        <w:trHeight w:val="323"/>
      </w:trPr>
      <w:tc>
        <w:tcPr>
          <w:tcW w:w="0" w:type="pct"/>
          <w:gridSpan w:val="3"/>
        </w:tcPr>
        <w:p w14:paraId="0A62E2EA" w14:textId="44FFE77F" w:rsidR="00EC379B" w:rsidRDefault="00C01BF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21BCB">
            <w:rPr>
              <w:rStyle w:val="PageNumber"/>
              <w:noProof/>
            </w:rPr>
            <w:t>1</w:t>
          </w:r>
          <w:r>
            <w:rPr>
              <w:rStyle w:val="PageNumber"/>
            </w:rPr>
            <w:fldChar w:fldCharType="end"/>
          </w:r>
        </w:p>
        <w:p w14:paraId="0EA7D1F9" w14:textId="77777777" w:rsidR="00EC379B" w:rsidRDefault="00EC379B" w:rsidP="009C1E9A">
          <w:pPr>
            <w:pStyle w:val="Footer"/>
            <w:tabs>
              <w:tab w:val="clear" w:pos="8640"/>
              <w:tab w:val="right" w:pos="9360"/>
            </w:tabs>
            <w:jc w:val="center"/>
          </w:pPr>
        </w:p>
      </w:tc>
    </w:tr>
  </w:tbl>
  <w:p w14:paraId="4178B47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F28A3"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ED3C6" w14:textId="77777777" w:rsidR="00000000" w:rsidRDefault="00C01BF2">
      <w:r>
        <w:separator/>
      </w:r>
    </w:p>
  </w:footnote>
  <w:footnote w:type="continuationSeparator" w:id="0">
    <w:p w14:paraId="25CE5F5C" w14:textId="77777777" w:rsidR="00000000" w:rsidRDefault="00C01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9EB37"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6E47C"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8574E"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0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2BBE"/>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278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02B"/>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5AA"/>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349"/>
    <w:rsid w:val="00934AC2"/>
    <w:rsid w:val="009375BB"/>
    <w:rsid w:val="009418E9"/>
    <w:rsid w:val="00941D53"/>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1093"/>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70C"/>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4FA"/>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1BF2"/>
    <w:rsid w:val="00C040AB"/>
    <w:rsid w:val="00C0499B"/>
    <w:rsid w:val="00C05406"/>
    <w:rsid w:val="00C05CF0"/>
    <w:rsid w:val="00C119AC"/>
    <w:rsid w:val="00C14EE6"/>
    <w:rsid w:val="00C151DA"/>
    <w:rsid w:val="00C152A1"/>
    <w:rsid w:val="00C16CCB"/>
    <w:rsid w:val="00C2142B"/>
    <w:rsid w:val="00C21BC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531"/>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4782"/>
    <w:rsid w:val="00D76631"/>
    <w:rsid w:val="00D768B7"/>
    <w:rsid w:val="00D77492"/>
    <w:rsid w:val="00D811E8"/>
    <w:rsid w:val="00D815D1"/>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42"/>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866D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D45D46-BF87-4C49-A385-978E13BD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HTMLPreformatted">
    <w:name w:val="HTML Preformatted"/>
    <w:basedOn w:val="Normal"/>
    <w:link w:val="HTMLPreformattedChar"/>
    <w:semiHidden/>
    <w:unhideWhenUsed/>
    <w:rsid w:val="009F470C"/>
    <w:rPr>
      <w:rFonts w:ascii="Consolas" w:hAnsi="Consolas"/>
      <w:sz w:val="20"/>
      <w:szCs w:val="20"/>
    </w:rPr>
  </w:style>
  <w:style w:type="character" w:customStyle="1" w:styleId="HTMLPreformattedChar">
    <w:name w:val="HTML Preformatted Char"/>
    <w:basedOn w:val="DefaultParagraphFont"/>
    <w:link w:val="HTMLPreformatted"/>
    <w:semiHidden/>
    <w:rsid w:val="009F470C"/>
    <w:rPr>
      <w:rFonts w:ascii="Consolas" w:hAnsi="Consolas"/>
    </w:rPr>
  </w:style>
  <w:style w:type="character" w:styleId="CommentReference">
    <w:name w:val="annotation reference"/>
    <w:basedOn w:val="DefaultParagraphFont"/>
    <w:semiHidden/>
    <w:unhideWhenUsed/>
    <w:rsid w:val="009F470C"/>
    <w:rPr>
      <w:sz w:val="16"/>
      <w:szCs w:val="16"/>
    </w:rPr>
  </w:style>
  <w:style w:type="paragraph" w:styleId="CommentText">
    <w:name w:val="annotation text"/>
    <w:basedOn w:val="Normal"/>
    <w:link w:val="CommentTextChar"/>
    <w:semiHidden/>
    <w:unhideWhenUsed/>
    <w:rsid w:val="009F470C"/>
    <w:rPr>
      <w:sz w:val="20"/>
      <w:szCs w:val="20"/>
    </w:rPr>
  </w:style>
  <w:style w:type="character" w:customStyle="1" w:styleId="CommentTextChar">
    <w:name w:val="Comment Text Char"/>
    <w:basedOn w:val="DefaultParagraphFont"/>
    <w:link w:val="CommentText"/>
    <w:semiHidden/>
    <w:rsid w:val="009F470C"/>
  </w:style>
  <w:style w:type="paragraph" w:styleId="CommentSubject">
    <w:name w:val="annotation subject"/>
    <w:basedOn w:val="CommentText"/>
    <w:next w:val="CommentText"/>
    <w:link w:val="CommentSubjectChar"/>
    <w:semiHidden/>
    <w:unhideWhenUsed/>
    <w:rsid w:val="009F470C"/>
    <w:rPr>
      <w:b/>
      <w:bCs/>
    </w:rPr>
  </w:style>
  <w:style w:type="character" w:customStyle="1" w:styleId="CommentSubjectChar">
    <w:name w:val="Comment Subject Char"/>
    <w:basedOn w:val="CommentTextChar"/>
    <w:link w:val="CommentSubject"/>
    <w:semiHidden/>
    <w:rsid w:val="009F4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1975</Characters>
  <Application>Microsoft Office Word</Application>
  <DocSecurity>4</DocSecurity>
  <Lines>52</Lines>
  <Paragraphs>15</Paragraphs>
  <ScaleCrop>false</ScaleCrop>
  <HeadingPairs>
    <vt:vector size="2" baseType="variant">
      <vt:variant>
        <vt:lpstr>Title</vt:lpstr>
      </vt:variant>
      <vt:variant>
        <vt:i4>1</vt:i4>
      </vt:variant>
    </vt:vector>
  </HeadingPairs>
  <TitlesOfParts>
    <vt:vector size="1" baseType="lpstr">
      <vt:lpstr>BA - SB00157 (Committee Report (Unamended))</vt:lpstr>
    </vt:vector>
  </TitlesOfParts>
  <Company>State of Texas</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24353</dc:subject>
  <dc:creator>State of Texas</dc:creator>
  <dc:description>SB 157 by Perry-(H)Land &amp; Resource Management</dc:description>
  <cp:lastModifiedBy>Damian Duarte</cp:lastModifiedBy>
  <cp:revision>2</cp:revision>
  <cp:lastPrinted>2003-11-26T17:21:00Z</cp:lastPrinted>
  <dcterms:created xsi:type="dcterms:W3CDTF">2021-05-08T00:45:00Z</dcterms:created>
  <dcterms:modified xsi:type="dcterms:W3CDTF">2021-05-08T00:45:00Z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21.127.678</vt:lpwstr>
  </property>
</Properties>
</file>