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675E8" w14:paraId="33135E91" w14:textId="77777777" w:rsidTr="00345119">
        <w:tc>
          <w:tcPr>
            <w:tcW w:w="9576" w:type="dxa"/>
            <w:noWrap/>
          </w:tcPr>
          <w:p w14:paraId="6D10A83F" w14:textId="77777777" w:rsidR="008423E4" w:rsidRPr="0022177D" w:rsidRDefault="001B6A85" w:rsidP="006E1F6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91FA6E3" w14:textId="77777777" w:rsidR="008423E4" w:rsidRPr="0022177D" w:rsidRDefault="008423E4" w:rsidP="006E1F66">
      <w:pPr>
        <w:jc w:val="center"/>
      </w:pPr>
    </w:p>
    <w:p w14:paraId="1E520D83" w14:textId="77777777" w:rsidR="008423E4" w:rsidRPr="00B31F0E" w:rsidRDefault="008423E4" w:rsidP="006E1F66"/>
    <w:p w14:paraId="4CDD1329" w14:textId="77777777" w:rsidR="008423E4" w:rsidRPr="00742794" w:rsidRDefault="008423E4" w:rsidP="006E1F6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75E8" w14:paraId="012A45CA" w14:textId="77777777" w:rsidTr="00345119">
        <w:tc>
          <w:tcPr>
            <w:tcW w:w="9576" w:type="dxa"/>
          </w:tcPr>
          <w:p w14:paraId="5834EB0D" w14:textId="32BB333E" w:rsidR="008423E4" w:rsidRPr="00861995" w:rsidRDefault="001B6A85" w:rsidP="006E1F66">
            <w:pPr>
              <w:jc w:val="right"/>
            </w:pPr>
            <w:r>
              <w:t>S.B. 168</w:t>
            </w:r>
          </w:p>
        </w:tc>
      </w:tr>
      <w:tr w:rsidR="001675E8" w14:paraId="76CED6AB" w14:textId="77777777" w:rsidTr="00345119">
        <w:tc>
          <w:tcPr>
            <w:tcW w:w="9576" w:type="dxa"/>
          </w:tcPr>
          <w:p w14:paraId="4DC417B8" w14:textId="4ACC5C9F" w:rsidR="008423E4" w:rsidRPr="00861995" w:rsidRDefault="001B6A85" w:rsidP="006E1F66">
            <w:pPr>
              <w:jc w:val="right"/>
            </w:pPr>
            <w:r>
              <w:t xml:space="preserve">By: </w:t>
            </w:r>
            <w:r w:rsidR="00772DA4">
              <w:t>Blanco</w:t>
            </w:r>
          </w:p>
        </w:tc>
      </w:tr>
      <w:tr w:rsidR="001675E8" w14:paraId="56E70EB2" w14:textId="77777777" w:rsidTr="00345119">
        <w:tc>
          <w:tcPr>
            <w:tcW w:w="9576" w:type="dxa"/>
          </w:tcPr>
          <w:p w14:paraId="780E47D8" w14:textId="0F135B2D" w:rsidR="008423E4" w:rsidRPr="00861995" w:rsidRDefault="001B6A85" w:rsidP="006E1F66">
            <w:pPr>
              <w:jc w:val="right"/>
            </w:pPr>
            <w:r>
              <w:t>Public Education</w:t>
            </w:r>
          </w:p>
        </w:tc>
      </w:tr>
      <w:tr w:rsidR="001675E8" w14:paraId="1B6A3828" w14:textId="77777777" w:rsidTr="00345119">
        <w:tc>
          <w:tcPr>
            <w:tcW w:w="9576" w:type="dxa"/>
          </w:tcPr>
          <w:p w14:paraId="792BABC9" w14:textId="533ED3CC" w:rsidR="008423E4" w:rsidRDefault="001B6A85" w:rsidP="006E1F66">
            <w:pPr>
              <w:jc w:val="right"/>
            </w:pPr>
            <w:r>
              <w:t>Committee Report (Unamended)</w:t>
            </w:r>
          </w:p>
        </w:tc>
      </w:tr>
    </w:tbl>
    <w:p w14:paraId="54F90D01" w14:textId="77777777" w:rsidR="008423E4" w:rsidRDefault="008423E4" w:rsidP="006E1F66">
      <w:pPr>
        <w:tabs>
          <w:tab w:val="right" w:pos="9360"/>
        </w:tabs>
      </w:pPr>
    </w:p>
    <w:p w14:paraId="7174BB39" w14:textId="77777777" w:rsidR="008423E4" w:rsidRDefault="008423E4" w:rsidP="006E1F66"/>
    <w:p w14:paraId="263F6E13" w14:textId="77777777" w:rsidR="008423E4" w:rsidRDefault="008423E4" w:rsidP="006E1F6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675E8" w14:paraId="40887A03" w14:textId="77777777" w:rsidTr="00981DF7">
        <w:tc>
          <w:tcPr>
            <w:tcW w:w="9360" w:type="dxa"/>
          </w:tcPr>
          <w:p w14:paraId="2D10CEF6" w14:textId="7D9A06AF" w:rsidR="008423E4" w:rsidRPr="005C42CE" w:rsidRDefault="001B6A85" w:rsidP="006E1F66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89AAFE" w14:textId="77777777" w:rsidR="00726460" w:rsidRDefault="00726460" w:rsidP="006E1F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5ACBE31" w14:textId="13A41608" w:rsidR="009A36D3" w:rsidRDefault="001B6A85" w:rsidP="006E1F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CA7193">
              <w:t xml:space="preserve">oncerns have been raised about the need for </w:t>
            </w:r>
            <w:r w:rsidR="00DC5C87">
              <w:t>guidance on best practices for</w:t>
            </w:r>
            <w:r w:rsidR="00CA7193">
              <w:t xml:space="preserve"> conducting </w:t>
            </w:r>
            <w:r w:rsidRPr="005E4BB6">
              <w:t xml:space="preserve">certain school safety drills </w:t>
            </w:r>
            <w:r w:rsidR="00CA7193">
              <w:t>and exercises.</w:t>
            </w:r>
            <w:r w:rsidR="005C42CE">
              <w:rPr>
                <w:color w:val="000000"/>
              </w:rPr>
              <w:t xml:space="preserve"> </w:t>
            </w:r>
            <w:r w:rsidR="001A6623">
              <w:rPr>
                <w:color w:val="000000"/>
              </w:rPr>
              <w:t>S.B. 168</w:t>
            </w:r>
            <w:r w:rsidR="00DC5C87">
              <w:rPr>
                <w:color w:val="000000"/>
              </w:rPr>
              <w:t xml:space="preserve"> seeks to address these concerns by </w:t>
            </w:r>
            <w:r w:rsidR="00477588">
              <w:rPr>
                <w:color w:val="000000"/>
              </w:rPr>
              <w:t>setting out requirements for a district</w:t>
            </w:r>
            <w:r>
              <w:rPr>
                <w:color w:val="000000"/>
              </w:rPr>
              <w:t xml:space="preserve"> and an open-enrollment charter school</w:t>
            </w:r>
            <w:r w:rsidR="00477588">
              <w:rPr>
                <w:color w:val="000000"/>
              </w:rPr>
              <w:t xml:space="preserve"> to meet </w:t>
            </w:r>
            <w:r>
              <w:rPr>
                <w:color w:val="000000"/>
              </w:rPr>
              <w:t>in</w:t>
            </w:r>
            <w:r w:rsidR="00477588">
              <w:rPr>
                <w:color w:val="000000"/>
              </w:rPr>
              <w:t xml:space="preserve"> conducting an active threat exercise</w:t>
            </w:r>
            <w:r w:rsidR="009521E5">
              <w:rPr>
                <w:color w:val="000000"/>
              </w:rPr>
              <w:t xml:space="preserve">. </w:t>
            </w:r>
            <w:r w:rsidR="00ED6372">
              <w:rPr>
                <w:color w:val="000000"/>
              </w:rPr>
              <w:t xml:space="preserve">The bill </w:t>
            </w:r>
            <w:r w:rsidR="00F5316D">
              <w:rPr>
                <w:color w:val="000000"/>
              </w:rPr>
              <w:t xml:space="preserve">also requires the commissioner of education to establish </w:t>
            </w:r>
            <w:r w:rsidR="00CC3E74">
              <w:rPr>
                <w:color w:val="000000"/>
              </w:rPr>
              <w:t xml:space="preserve">best practices </w:t>
            </w:r>
            <w:r w:rsidR="00DC5C87">
              <w:rPr>
                <w:color w:val="000000"/>
              </w:rPr>
              <w:t xml:space="preserve">for conducting </w:t>
            </w:r>
            <w:r w:rsidR="00F5316D">
              <w:rPr>
                <w:color w:val="000000"/>
              </w:rPr>
              <w:t>other</w:t>
            </w:r>
            <w:r>
              <w:rPr>
                <w:color w:val="000000"/>
              </w:rPr>
              <w:t xml:space="preserve"> </w:t>
            </w:r>
            <w:r w:rsidR="00ED6372">
              <w:rPr>
                <w:color w:val="000000"/>
              </w:rPr>
              <w:t xml:space="preserve">emergency </w:t>
            </w:r>
            <w:r w:rsidR="00F5316D">
              <w:rPr>
                <w:color w:val="000000"/>
              </w:rPr>
              <w:t xml:space="preserve">school </w:t>
            </w:r>
            <w:r w:rsidR="00CC3E74">
              <w:rPr>
                <w:color w:val="000000"/>
              </w:rPr>
              <w:t xml:space="preserve">drills and </w:t>
            </w:r>
            <w:r w:rsidR="00ED6372">
              <w:rPr>
                <w:color w:val="000000"/>
              </w:rPr>
              <w:t>exercises</w:t>
            </w:r>
            <w:r w:rsidR="00CC3E74">
              <w:rPr>
                <w:color w:val="000000"/>
              </w:rPr>
              <w:t>.</w:t>
            </w:r>
          </w:p>
          <w:p w14:paraId="59DAF8D2" w14:textId="5247016C" w:rsidR="008423E4" w:rsidRPr="005C42CE" w:rsidRDefault="008423E4" w:rsidP="006E1F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675E8" w14:paraId="41B3D9CC" w14:textId="77777777" w:rsidTr="00981DF7">
        <w:tc>
          <w:tcPr>
            <w:tcW w:w="9360" w:type="dxa"/>
          </w:tcPr>
          <w:p w14:paraId="4EBDAA3E" w14:textId="77777777" w:rsidR="0017725B" w:rsidRDefault="001B6A85" w:rsidP="006E1F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D38EE9A" w14:textId="77777777" w:rsidR="0017725B" w:rsidRDefault="0017725B" w:rsidP="006E1F66">
            <w:pPr>
              <w:rPr>
                <w:b/>
                <w:u w:val="single"/>
              </w:rPr>
            </w:pPr>
          </w:p>
          <w:p w14:paraId="6C26813B" w14:textId="77777777" w:rsidR="000114FA" w:rsidRPr="000114FA" w:rsidRDefault="001B6A85" w:rsidP="006E1F6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14:paraId="1C3894DE" w14:textId="77777777" w:rsidR="0017725B" w:rsidRPr="0017725B" w:rsidRDefault="0017725B" w:rsidP="006E1F66">
            <w:pPr>
              <w:rPr>
                <w:b/>
                <w:u w:val="single"/>
              </w:rPr>
            </w:pPr>
          </w:p>
        </w:tc>
      </w:tr>
      <w:tr w:rsidR="001675E8" w14:paraId="2AD81D95" w14:textId="77777777" w:rsidTr="00981DF7">
        <w:tc>
          <w:tcPr>
            <w:tcW w:w="9360" w:type="dxa"/>
          </w:tcPr>
          <w:p w14:paraId="2BB73616" w14:textId="77777777" w:rsidR="008423E4" w:rsidRPr="00A8133F" w:rsidRDefault="001B6A85" w:rsidP="006E1F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EA2AEB4" w14:textId="77777777" w:rsidR="008423E4" w:rsidRDefault="008423E4" w:rsidP="006E1F66"/>
          <w:p w14:paraId="3214F886" w14:textId="090E634E" w:rsidR="000114FA" w:rsidRDefault="001B6A85" w:rsidP="006E1F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commissioner of education in SECTIONS 1 and </w:t>
            </w:r>
            <w:r>
              <w:t>2 of this bill.</w:t>
            </w:r>
          </w:p>
          <w:p w14:paraId="698EEAF1" w14:textId="77777777" w:rsidR="008423E4" w:rsidRPr="00E21FDC" w:rsidRDefault="008423E4" w:rsidP="006E1F66">
            <w:pPr>
              <w:rPr>
                <w:b/>
              </w:rPr>
            </w:pPr>
          </w:p>
        </w:tc>
      </w:tr>
      <w:tr w:rsidR="001675E8" w14:paraId="3DE8FDAC" w14:textId="77777777" w:rsidTr="00981DF7">
        <w:tc>
          <w:tcPr>
            <w:tcW w:w="9360" w:type="dxa"/>
          </w:tcPr>
          <w:p w14:paraId="3FF3A489" w14:textId="77777777" w:rsidR="008423E4" w:rsidRPr="00A8133F" w:rsidRDefault="001B6A85" w:rsidP="006E1F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0FBF995" w14:textId="77777777" w:rsidR="008423E4" w:rsidRDefault="008423E4" w:rsidP="006E1F66"/>
          <w:p w14:paraId="3FF47C91" w14:textId="7C7E7151" w:rsidR="009C1307" w:rsidRDefault="001B6A85" w:rsidP="006E1F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168</w:t>
            </w:r>
            <w:r w:rsidR="00615BC1">
              <w:t xml:space="preserve"> amends the Education Code to require a public school district</w:t>
            </w:r>
            <w:r w:rsidR="009521E5">
              <w:t xml:space="preserve"> and </w:t>
            </w:r>
            <w:r w:rsidR="003704D0">
              <w:t xml:space="preserve">an </w:t>
            </w:r>
            <w:r w:rsidR="009521E5">
              <w:t>open-enrollment charter school</w:t>
            </w:r>
            <w:r>
              <w:t>, before conduct</w:t>
            </w:r>
            <w:r w:rsidR="009521E5">
              <w:t>ing</w:t>
            </w:r>
            <w:r>
              <w:t xml:space="preserve"> an active </w:t>
            </w:r>
            <w:r w:rsidR="0080385B">
              <w:t>threat exercise</w:t>
            </w:r>
            <w:r>
              <w:t xml:space="preserve">, to </w:t>
            </w:r>
            <w:r w:rsidR="0080385B">
              <w:t>ensure the following</w:t>
            </w:r>
            <w:r>
              <w:t>:</w:t>
            </w:r>
          </w:p>
          <w:p w14:paraId="215B8DDC" w14:textId="62E6A836" w:rsidR="000A01FB" w:rsidRDefault="001B6A85" w:rsidP="006E1F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A01FB">
              <w:t>that adeq</w:t>
            </w:r>
            <w:r>
              <w:t xml:space="preserve">uate notice of </w:t>
            </w:r>
            <w:r w:rsidR="0080385B">
              <w:t>the exercise</w:t>
            </w:r>
            <w:r w:rsidRPr="000A01FB">
              <w:t xml:space="preserve"> </w:t>
            </w:r>
            <w:r w:rsidR="0080385B">
              <w:t>is</w:t>
            </w:r>
            <w:r w:rsidRPr="000A01FB">
              <w:t xml:space="preserve"> provided to</w:t>
            </w:r>
            <w:r w:rsidR="0080385B">
              <w:t xml:space="preserve"> </w:t>
            </w:r>
            <w:r w:rsidR="00CE79D6" w:rsidRPr="00CE79D6">
              <w:t>students expected to participate, the parents of those students, and staff likely to be part of the exercise</w:t>
            </w:r>
            <w:r w:rsidRPr="000A01FB">
              <w:t>,</w:t>
            </w:r>
            <w:r>
              <w:t xml:space="preserve"> including information</w:t>
            </w:r>
            <w:r w:rsidR="0080385B">
              <w:t xml:space="preserve"> regarding </w:t>
            </w:r>
            <w:r w:rsidR="00CE79D6">
              <w:t xml:space="preserve">the date, content, form, and tone of the exercise and </w:t>
            </w:r>
            <w:r w:rsidR="0080385B">
              <w:t xml:space="preserve">whether </w:t>
            </w:r>
            <w:r w:rsidR="00CE79D6">
              <w:t>it</w:t>
            </w:r>
            <w:r w:rsidR="0080385B">
              <w:t xml:space="preserve"> will include a live simulation that mimics or appears to be an actual shooting incident</w:t>
            </w:r>
            <w:r>
              <w:t>;</w:t>
            </w:r>
          </w:p>
          <w:p w14:paraId="505DF9D4" w14:textId="4F3F6D9D" w:rsidR="000A01FB" w:rsidRDefault="001B6A85" w:rsidP="006E1F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that the exercise is announced</w:t>
            </w:r>
            <w:r w:rsidRPr="000A01FB">
              <w:t xml:space="preserve"> to students and faculty before the start of the </w:t>
            </w:r>
            <w:r>
              <w:t xml:space="preserve">exercise, including, if applicable, an announcement that the exercise will include </w:t>
            </w:r>
            <w:r w:rsidR="009521E5" w:rsidRPr="009521E5">
              <w:t>a live simulation that mimics or appears to be an actual threat, such as a shooting incident;</w:t>
            </w:r>
          </w:p>
          <w:p w14:paraId="652FD580" w14:textId="2BB67DF9" w:rsidR="00007CD2" w:rsidRDefault="001B6A85" w:rsidP="006E1F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that first responder organizations that would likely respond in the event of a false report or alarm are notified regarding the exercise;</w:t>
            </w:r>
          </w:p>
          <w:p w14:paraId="130B94A6" w14:textId="7FC851F5" w:rsidR="00007CD2" w:rsidRDefault="001B6A85" w:rsidP="006E1F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that a safe zone is created around the area in which the exercise</w:t>
            </w:r>
            <w:r>
              <w:t xml:space="preserve"> will be conducted to keep out actual firearms, ammunition, and other weapons</w:t>
            </w:r>
            <w:r w:rsidR="00692438">
              <w:t xml:space="preserve">, </w:t>
            </w:r>
            <w:r w:rsidR="00692438" w:rsidRPr="00692438">
              <w:t>other than firearms, ammunition, or other weapons carried by a peace officer, school resource officer, or school marshal or any other person authorized by the district to carry those items on school grounds</w:t>
            </w:r>
            <w:r>
              <w:t>;</w:t>
            </w:r>
            <w:r w:rsidR="003704D0">
              <w:t xml:space="preserve"> and</w:t>
            </w:r>
          </w:p>
          <w:p w14:paraId="7E87DF80" w14:textId="3E89653E" w:rsidR="009521E5" w:rsidRDefault="001B6A85" w:rsidP="006E1F6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that </w:t>
            </w:r>
            <w:r w:rsidR="000A01FB">
              <w:t>the</w:t>
            </w:r>
            <w:r>
              <w:t xml:space="preserve"> content of the exercise:</w:t>
            </w:r>
          </w:p>
          <w:p w14:paraId="483C7E46" w14:textId="608FC65A" w:rsidR="009521E5" w:rsidRDefault="001B6A85" w:rsidP="006E1F66">
            <w:pPr>
              <w:pStyle w:val="Header"/>
              <w:numPr>
                <w:ilvl w:val="0"/>
                <w:numId w:val="4"/>
              </w:numPr>
              <w:jc w:val="both"/>
            </w:pPr>
            <w:r>
              <w:t>is age appropriate and developmentally appropriate;</w:t>
            </w:r>
          </w:p>
          <w:p w14:paraId="06B96189" w14:textId="29B6368C" w:rsidR="00C04D25" w:rsidRDefault="001B6A85" w:rsidP="006E1F66">
            <w:pPr>
              <w:pStyle w:val="Header"/>
              <w:numPr>
                <w:ilvl w:val="0"/>
                <w:numId w:val="4"/>
              </w:numPr>
              <w:jc w:val="both"/>
            </w:pPr>
            <w:r w:rsidRPr="00C04D25">
              <w:t>has been developed by a team of school administrators, teachers, school-based mental health professionals, and law enforcement officers</w:t>
            </w:r>
            <w:r w:rsidRPr="00C04D25">
              <w:t>, with input from parents and students; and</w:t>
            </w:r>
          </w:p>
          <w:p w14:paraId="4E5766C9" w14:textId="254240B8" w:rsidR="00C04D25" w:rsidRDefault="001B6A85" w:rsidP="006E1F66">
            <w:pPr>
              <w:pStyle w:val="Header"/>
              <w:numPr>
                <w:ilvl w:val="0"/>
                <w:numId w:val="4"/>
              </w:numPr>
              <w:jc w:val="both"/>
            </w:pPr>
            <w:r>
              <w:t>is designed to support the well-being of students who participate in the exercise before, during, and after the exercise is conducted; and that</w:t>
            </w:r>
            <w:r w:rsidRPr="000A01FB">
              <w:t xml:space="preserve"> data regarding the efficacy and impact of </w:t>
            </w:r>
            <w:r>
              <w:t>the exercise will be track</w:t>
            </w:r>
            <w:r>
              <w:t xml:space="preserve">ed, </w:t>
            </w:r>
            <w:r w:rsidRPr="000A01FB">
              <w:t xml:space="preserve">including </w:t>
            </w:r>
            <w:r>
              <w:t>specified feedback regarding the exercise.</w:t>
            </w:r>
          </w:p>
          <w:p w14:paraId="79C5FB95" w14:textId="6838DBC3" w:rsidR="000A01FB" w:rsidRDefault="001B6A85" w:rsidP="006E1F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With respect to the</w:t>
            </w:r>
            <w:r w:rsidR="003704D0">
              <w:t xml:space="preserve"> safe zone provision, the bill expressly prohibits this provision from being construed </w:t>
            </w:r>
            <w:r w:rsidRPr="00C04D25">
              <w:t>to prohibit a parent, legal guardian, or other person acting on a parent's or legal guardian'</w:t>
            </w:r>
            <w:r w:rsidRPr="00C04D25">
              <w:t>s behalf from transporting or storing in the person's motor vehicle a firearm, ammunition, or other weapon that the person is legally authorized to possess while the person is picking up a child from school.</w:t>
            </w:r>
            <w:r w:rsidR="003704D0">
              <w:t xml:space="preserve"> </w:t>
            </w:r>
            <w:r w:rsidR="00007CD2">
              <w:t>The bill requires a district</w:t>
            </w:r>
            <w:r>
              <w:t xml:space="preserve"> and open-enrollment</w:t>
            </w:r>
            <w:r>
              <w:t xml:space="preserve"> charter school</w:t>
            </w:r>
            <w:r w:rsidR="00007CD2">
              <w:t xml:space="preserve"> to submit the data regarding the exercise's efficacy and impact to </w:t>
            </w:r>
            <w:r w:rsidR="005C42CE">
              <w:t>the Texas School Safety Center</w:t>
            </w:r>
            <w:r w:rsidR="00CE79D6">
              <w:t xml:space="preserve"> and </w:t>
            </w:r>
            <w:r w:rsidR="00CE79D6" w:rsidRPr="00CE79D6">
              <w:t>authorizes the commissioner of education to adopt rules as necessary to implement the</w:t>
            </w:r>
            <w:r w:rsidR="00CE79D6">
              <w:t>se</w:t>
            </w:r>
            <w:r w:rsidR="00CE79D6" w:rsidRPr="00CE79D6">
              <w:t xml:space="preserve"> </w:t>
            </w:r>
            <w:r w:rsidR="003704D0">
              <w:t xml:space="preserve">active threat exercise </w:t>
            </w:r>
            <w:r w:rsidR="00CE79D6" w:rsidRPr="00CE79D6">
              <w:t>provisions</w:t>
            </w:r>
            <w:r w:rsidR="005C42CE">
              <w:t xml:space="preserve">. </w:t>
            </w:r>
          </w:p>
          <w:p w14:paraId="132299DD" w14:textId="77777777" w:rsidR="001A6623" w:rsidRDefault="001A6623" w:rsidP="006E1F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D960EC0" w14:textId="1E740C01" w:rsidR="0005197E" w:rsidRPr="009C36CD" w:rsidRDefault="001B6A85" w:rsidP="006E1F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168</w:t>
            </w:r>
            <w:r w:rsidRPr="001A6623">
              <w:t xml:space="preserve"> </w:t>
            </w:r>
            <w:r w:rsidR="005C42CE" w:rsidRPr="001A6623">
              <w:t>requires the commissioner, in consultation with the Texas School Safety Center and</w:t>
            </w:r>
            <w:r w:rsidR="005C42CE">
              <w:t xml:space="preserve"> state fire marshal, to adopt rules providing best practices for conduct</w:t>
            </w:r>
            <w:r w:rsidR="00C96873">
              <w:t>ing</w:t>
            </w:r>
            <w:r w:rsidR="005C42CE">
              <w:t xml:space="preserve"> emergency school drills and exercises</w:t>
            </w:r>
            <w:r w:rsidR="00C96873">
              <w:t>, including definitions for relevant terms</w:t>
            </w:r>
            <w:r w:rsidR="005C42CE">
              <w:t xml:space="preserve">. The bill </w:t>
            </w:r>
            <w:r w:rsidRPr="0005197E">
              <w:t xml:space="preserve">applies </w:t>
            </w:r>
            <w:r w:rsidRPr="0005197E">
              <w:t>beginning with the 2021</w:t>
            </w:r>
            <w:r w:rsidR="001647CA">
              <w:noBreakHyphen/>
            </w:r>
            <w:r w:rsidRPr="0005197E">
              <w:t>2022 school year.</w:t>
            </w:r>
            <w:r>
              <w:t xml:space="preserve">  </w:t>
            </w:r>
          </w:p>
          <w:p w14:paraId="40C0C241" w14:textId="77777777" w:rsidR="008423E4" w:rsidRPr="00835628" w:rsidRDefault="008423E4" w:rsidP="006E1F66">
            <w:pPr>
              <w:rPr>
                <w:b/>
              </w:rPr>
            </w:pPr>
          </w:p>
        </w:tc>
      </w:tr>
      <w:tr w:rsidR="001675E8" w14:paraId="7E554E17" w14:textId="77777777" w:rsidTr="00981DF7">
        <w:tc>
          <w:tcPr>
            <w:tcW w:w="9360" w:type="dxa"/>
          </w:tcPr>
          <w:p w14:paraId="2E5882F5" w14:textId="77777777" w:rsidR="008423E4" w:rsidRPr="00A8133F" w:rsidRDefault="001B6A85" w:rsidP="006E1F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4A4B1D2" w14:textId="77777777" w:rsidR="008423E4" w:rsidRDefault="008423E4" w:rsidP="006E1F66"/>
          <w:p w14:paraId="0D467D57" w14:textId="77777777" w:rsidR="008423E4" w:rsidRPr="003624F2" w:rsidRDefault="001B6A85" w:rsidP="006E1F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44320FC" w14:textId="77777777" w:rsidR="008423E4" w:rsidRPr="00233FDB" w:rsidRDefault="008423E4" w:rsidP="006E1F66">
            <w:pPr>
              <w:rPr>
                <w:b/>
              </w:rPr>
            </w:pPr>
          </w:p>
        </w:tc>
      </w:tr>
      <w:tr w:rsidR="001675E8" w14:paraId="383C971C" w14:textId="77777777" w:rsidTr="00981DF7">
        <w:tc>
          <w:tcPr>
            <w:tcW w:w="9360" w:type="dxa"/>
          </w:tcPr>
          <w:p w14:paraId="36961F53" w14:textId="65A249E5" w:rsidR="00981DF7" w:rsidRPr="00981DF7" w:rsidRDefault="00981DF7" w:rsidP="006E1F66">
            <w:pPr>
              <w:pStyle w:val="ListParagraph"/>
              <w:jc w:val="both"/>
              <w:rPr>
                <w:b/>
                <w:u w:val="single"/>
              </w:rPr>
            </w:pPr>
          </w:p>
        </w:tc>
      </w:tr>
    </w:tbl>
    <w:p w14:paraId="29A1D3CC" w14:textId="77777777" w:rsidR="008423E4" w:rsidRPr="00BE0E75" w:rsidRDefault="008423E4" w:rsidP="006E1F66">
      <w:pPr>
        <w:jc w:val="both"/>
        <w:rPr>
          <w:rFonts w:ascii="Arial" w:hAnsi="Arial"/>
          <w:sz w:val="16"/>
          <w:szCs w:val="16"/>
        </w:rPr>
      </w:pPr>
    </w:p>
    <w:p w14:paraId="4047144C" w14:textId="77777777" w:rsidR="004108C3" w:rsidRPr="008423E4" w:rsidRDefault="004108C3" w:rsidP="006E1F6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0909" w14:textId="77777777" w:rsidR="00000000" w:rsidRDefault="001B6A85">
      <w:r>
        <w:separator/>
      </w:r>
    </w:p>
  </w:endnote>
  <w:endnote w:type="continuationSeparator" w:id="0">
    <w:p w14:paraId="1D75148E" w14:textId="77777777" w:rsidR="00000000" w:rsidRDefault="001B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C05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75E8" w14:paraId="4B7498C0" w14:textId="77777777" w:rsidTr="009C1E9A">
      <w:trPr>
        <w:cantSplit/>
      </w:trPr>
      <w:tc>
        <w:tcPr>
          <w:tcW w:w="0" w:type="pct"/>
        </w:tcPr>
        <w:p w14:paraId="3AC190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C938A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8E58D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F346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AF531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75E8" w14:paraId="11BEE184" w14:textId="77777777" w:rsidTr="009C1E9A">
      <w:trPr>
        <w:cantSplit/>
      </w:trPr>
      <w:tc>
        <w:tcPr>
          <w:tcW w:w="0" w:type="pct"/>
        </w:tcPr>
        <w:p w14:paraId="5314EC4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B8E9D5" w14:textId="1CDAB69D" w:rsidR="00EC379B" w:rsidRPr="009C1E9A" w:rsidRDefault="001B6A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27097</w:t>
          </w:r>
        </w:p>
      </w:tc>
      <w:tc>
        <w:tcPr>
          <w:tcW w:w="2453" w:type="pct"/>
        </w:tcPr>
        <w:p w14:paraId="24EF7742" w14:textId="71703C30" w:rsidR="00EC379B" w:rsidRDefault="001B6A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E1F66">
            <w:t>21.134.1448</w:t>
          </w:r>
          <w:r>
            <w:fldChar w:fldCharType="end"/>
          </w:r>
        </w:p>
      </w:tc>
    </w:tr>
    <w:tr w:rsidR="001675E8" w14:paraId="44B48297" w14:textId="77777777" w:rsidTr="009C1E9A">
      <w:trPr>
        <w:cantSplit/>
      </w:trPr>
      <w:tc>
        <w:tcPr>
          <w:tcW w:w="0" w:type="pct"/>
        </w:tcPr>
        <w:p w14:paraId="62DE43D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DC91FB" w14:textId="5AF80FE9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FD8F09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093E4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75E8" w14:paraId="719B38F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C02B49F" w14:textId="62BAC1B2" w:rsidR="00EC379B" w:rsidRDefault="001B6A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E1F6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ED80D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AE4CC3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AA2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A1C88" w14:textId="77777777" w:rsidR="00000000" w:rsidRDefault="001B6A85">
      <w:r>
        <w:separator/>
      </w:r>
    </w:p>
  </w:footnote>
  <w:footnote w:type="continuationSeparator" w:id="0">
    <w:p w14:paraId="6274969D" w14:textId="77777777" w:rsidR="00000000" w:rsidRDefault="001B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575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D2F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B42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93E"/>
    <w:multiLevelType w:val="hybridMultilevel"/>
    <w:tmpl w:val="739CBE7C"/>
    <w:lvl w:ilvl="0" w:tplc="A336B7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CC27B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2819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BEE5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0010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70F3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3887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36CC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3CA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918D9"/>
    <w:multiLevelType w:val="hybridMultilevel"/>
    <w:tmpl w:val="E166A07A"/>
    <w:lvl w:ilvl="0" w:tplc="2D683D3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690AD4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7807B5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FCA790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936DB3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10484B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2AE054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B6A7D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91AFB3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DB66D0"/>
    <w:multiLevelType w:val="hybridMultilevel"/>
    <w:tmpl w:val="FE9C60AA"/>
    <w:lvl w:ilvl="0" w:tplc="FBD00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AC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6A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64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4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A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CE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2E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2D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117BF"/>
    <w:multiLevelType w:val="hybridMultilevel"/>
    <w:tmpl w:val="40EE3976"/>
    <w:lvl w:ilvl="0" w:tplc="F4BA0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F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E0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08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E9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02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43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B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C3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1"/>
    <w:rsid w:val="00000A70"/>
    <w:rsid w:val="000032B8"/>
    <w:rsid w:val="00003B06"/>
    <w:rsid w:val="000054B9"/>
    <w:rsid w:val="00007461"/>
    <w:rsid w:val="00007CD2"/>
    <w:rsid w:val="0001117E"/>
    <w:rsid w:val="0001125F"/>
    <w:rsid w:val="000114FA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97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1FB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093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7CA"/>
    <w:rsid w:val="001664C2"/>
    <w:rsid w:val="001675E8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A4F"/>
    <w:rsid w:val="001A0739"/>
    <w:rsid w:val="001A0F00"/>
    <w:rsid w:val="001A2BDD"/>
    <w:rsid w:val="001A3DDF"/>
    <w:rsid w:val="001A4310"/>
    <w:rsid w:val="001A6623"/>
    <w:rsid w:val="001B053A"/>
    <w:rsid w:val="001B26D8"/>
    <w:rsid w:val="001B3BFA"/>
    <w:rsid w:val="001B6A85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CA2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5D8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21C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4D0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F7E"/>
    <w:rsid w:val="00471455"/>
    <w:rsid w:val="00474927"/>
    <w:rsid w:val="00475913"/>
    <w:rsid w:val="00477588"/>
    <w:rsid w:val="00480080"/>
    <w:rsid w:val="004824A7"/>
    <w:rsid w:val="00483AF0"/>
    <w:rsid w:val="00483F27"/>
    <w:rsid w:val="00484167"/>
    <w:rsid w:val="00492211"/>
    <w:rsid w:val="00492325"/>
    <w:rsid w:val="00492A6D"/>
    <w:rsid w:val="00494303"/>
    <w:rsid w:val="00494AF5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40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2CE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4BB6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BC1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438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24A"/>
    <w:rsid w:val="006B54C5"/>
    <w:rsid w:val="006B5E80"/>
    <w:rsid w:val="006B7A2E"/>
    <w:rsid w:val="006C4709"/>
    <w:rsid w:val="006D3005"/>
    <w:rsid w:val="006D504F"/>
    <w:rsid w:val="006E0CAC"/>
    <w:rsid w:val="006E1CFB"/>
    <w:rsid w:val="006E1F66"/>
    <w:rsid w:val="006E1F94"/>
    <w:rsid w:val="006E1FC2"/>
    <w:rsid w:val="006E26C1"/>
    <w:rsid w:val="006E30A8"/>
    <w:rsid w:val="006E45B0"/>
    <w:rsid w:val="006E4C76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46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DA4"/>
    <w:rsid w:val="0077503B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EE8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B1D"/>
    <w:rsid w:val="007E59E8"/>
    <w:rsid w:val="007F3861"/>
    <w:rsid w:val="007F4162"/>
    <w:rsid w:val="007F5441"/>
    <w:rsid w:val="007F7668"/>
    <w:rsid w:val="00800C63"/>
    <w:rsid w:val="00802243"/>
    <w:rsid w:val="008023D4"/>
    <w:rsid w:val="0080385B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234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1E5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31A"/>
    <w:rsid w:val="00976837"/>
    <w:rsid w:val="00980311"/>
    <w:rsid w:val="0098170E"/>
    <w:rsid w:val="00981DF7"/>
    <w:rsid w:val="0098285C"/>
    <w:rsid w:val="00983B56"/>
    <w:rsid w:val="009847FD"/>
    <w:rsid w:val="009851B3"/>
    <w:rsid w:val="00985300"/>
    <w:rsid w:val="00986720"/>
    <w:rsid w:val="00987F00"/>
    <w:rsid w:val="00990C45"/>
    <w:rsid w:val="0099403D"/>
    <w:rsid w:val="00995B0B"/>
    <w:rsid w:val="009A1883"/>
    <w:rsid w:val="009A36D3"/>
    <w:rsid w:val="009A39F5"/>
    <w:rsid w:val="009A4588"/>
    <w:rsid w:val="009A5EA5"/>
    <w:rsid w:val="009A6552"/>
    <w:rsid w:val="009B00C2"/>
    <w:rsid w:val="009B26AB"/>
    <w:rsid w:val="009B3476"/>
    <w:rsid w:val="009B39BC"/>
    <w:rsid w:val="009B5069"/>
    <w:rsid w:val="009B69AD"/>
    <w:rsid w:val="009B7806"/>
    <w:rsid w:val="009C05C1"/>
    <w:rsid w:val="009C1307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F74"/>
    <w:rsid w:val="00A151B5"/>
    <w:rsid w:val="00A220FF"/>
    <w:rsid w:val="00A227E0"/>
    <w:rsid w:val="00A232E4"/>
    <w:rsid w:val="00A24AAD"/>
    <w:rsid w:val="00A26A8A"/>
    <w:rsid w:val="00A27255"/>
    <w:rsid w:val="00A27944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4E5D"/>
    <w:rsid w:val="00A65AD2"/>
    <w:rsid w:val="00A70E35"/>
    <w:rsid w:val="00A720DC"/>
    <w:rsid w:val="00A803CF"/>
    <w:rsid w:val="00A8133F"/>
    <w:rsid w:val="00A81D94"/>
    <w:rsid w:val="00A8290E"/>
    <w:rsid w:val="00A82CB4"/>
    <w:rsid w:val="00A837A8"/>
    <w:rsid w:val="00A83C36"/>
    <w:rsid w:val="00A932BB"/>
    <w:rsid w:val="00A93579"/>
    <w:rsid w:val="00A93934"/>
    <w:rsid w:val="00A95D51"/>
    <w:rsid w:val="00AA0F6F"/>
    <w:rsid w:val="00AA1510"/>
    <w:rsid w:val="00AA18AE"/>
    <w:rsid w:val="00AA228B"/>
    <w:rsid w:val="00AA597A"/>
    <w:rsid w:val="00AA7E52"/>
    <w:rsid w:val="00AB1655"/>
    <w:rsid w:val="00AB173B"/>
    <w:rsid w:val="00AB1873"/>
    <w:rsid w:val="00AB2C05"/>
    <w:rsid w:val="00AB3536"/>
    <w:rsid w:val="00AB474B"/>
    <w:rsid w:val="00AB5CCC"/>
    <w:rsid w:val="00AB74E2"/>
    <w:rsid w:val="00AC2E9A"/>
    <w:rsid w:val="00AC384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B63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4D25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873"/>
    <w:rsid w:val="00CA02B0"/>
    <w:rsid w:val="00CA032E"/>
    <w:rsid w:val="00CA2182"/>
    <w:rsid w:val="00CA2186"/>
    <w:rsid w:val="00CA26EF"/>
    <w:rsid w:val="00CA3608"/>
    <w:rsid w:val="00CA4CA0"/>
    <w:rsid w:val="00CA5E5E"/>
    <w:rsid w:val="00CA7193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3E74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9D6"/>
    <w:rsid w:val="00CF4827"/>
    <w:rsid w:val="00CF4C69"/>
    <w:rsid w:val="00CF581C"/>
    <w:rsid w:val="00CF71E0"/>
    <w:rsid w:val="00D001B1"/>
    <w:rsid w:val="00D01AED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C87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7DD"/>
    <w:rsid w:val="00DF0834"/>
    <w:rsid w:val="00DF2707"/>
    <w:rsid w:val="00DF365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85E"/>
    <w:rsid w:val="00E73CCD"/>
    <w:rsid w:val="00E76453"/>
    <w:rsid w:val="00E77353"/>
    <w:rsid w:val="00E775AE"/>
    <w:rsid w:val="00E7789D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9D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372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16D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0CF1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32DF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5D01A9-4953-4029-8B6E-E9459174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114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1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14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14FA"/>
    <w:rPr>
      <w:b/>
      <w:bCs/>
    </w:rPr>
  </w:style>
  <w:style w:type="paragraph" w:styleId="NormalWeb">
    <w:name w:val="Normal (Web)"/>
    <w:basedOn w:val="Normal"/>
    <w:uiPriority w:val="99"/>
    <w:unhideWhenUsed/>
    <w:rsid w:val="00CC3E7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27944"/>
    <w:pPr>
      <w:ind w:left="720"/>
      <w:contextualSpacing/>
    </w:pPr>
  </w:style>
  <w:style w:type="character" w:styleId="Hyperlink">
    <w:name w:val="Hyperlink"/>
    <w:basedOn w:val="DefaultParagraphFont"/>
    <w:unhideWhenUsed/>
    <w:rsid w:val="00FA0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3331</Characters>
  <Application>Microsoft Office Word</Application>
  <DocSecurity>4</DocSecurity>
  <Lines>77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SB00168 (Committee Report (Unamended))</vt:lpstr>
    </vt:vector>
  </TitlesOfParts>
  <Company>State of Texas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27097</dc:subject>
  <dc:creator>State of Texas</dc:creator>
  <dc:description>SB 168 by Blanco-(H)Public Education</dc:description>
  <cp:lastModifiedBy>Thomas Weis</cp:lastModifiedBy>
  <cp:revision>2</cp:revision>
  <cp:lastPrinted>2003-11-26T17:21:00Z</cp:lastPrinted>
  <dcterms:created xsi:type="dcterms:W3CDTF">2021-05-17T23:26:00Z</dcterms:created>
  <dcterms:modified xsi:type="dcterms:W3CDTF">2021-05-17T23:26:00Z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21.134.1448</vt:lpwstr>
  </property>
</Properties>
</file>