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C8F" w:rsidRDefault="002F5C8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F31A74F36E46EABACAA7F00F3FD6BC"/>
          </w:placeholder>
        </w:sdtPr>
        <w:sdtContent>
          <w:r w:rsidRPr="005C2A78">
            <w:rPr>
              <w:rFonts w:cs="Times New Roman"/>
              <w:b/>
              <w:szCs w:val="24"/>
              <w:u w:val="single"/>
            </w:rPr>
            <w:t>BILL ANALYSIS</w:t>
          </w:r>
        </w:sdtContent>
      </w:sdt>
    </w:p>
    <w:p w:rsidR="002F5C8F" w:rsidRPr="00585C31" w:rsidRDefault="002F5C8F" w:rsidP="000F1DF9">
      <w:pPr>
        <w:spacing w:after="0" w:line="240" w:lineRule="auto"/>
        <w:rPr>
          <w:rFonts w:cs="Times New Roman"/>
          <w:szCs w:val="24"/>
        </w:rPr>
      </w:pPr>
    </w:p>
    <w:p w:rsidR="002F5C8F" w:rsidRPr="00585C31" w:rsidRDefault="002F5C8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5C8F" w:rsidTr="000F1DF9">
        <w:tc>
          <w:tcPr>
            <w:tcW w:w="2718" w:type="dxa"/>
          </w:tcPr>
          <w:p w:rsidR="002F5C8F" w:rsidRPr="005C2A78" w:rsidRDefault="002F5C8F" w:rsidP="006D756B">
            <w:pPr>
              <w:rPr>
                <w:rFonts w:cs="Times New Roman"/>
                <w:szCs w:val="24"/>
              </w:rPr>
            </w:pPr>
            <w:sdt>
              <w:sdtPr>
                <w:rPr>
                  <w:rFonts w:cs="Times New Roman"/>
                  <w:szCs w:val="24"/>
                </w:rPr>
                <w:alias w:val="Agency Title"/>
                <w:tag w:val="AgencyTitleContentControl"/>
                <w:id w:val="1920747753"/>
                <w:lock w:val="sdtContentLocked"/>
                <w:placeholder>
                  <w:docPart w:val="56AB6216650A433081BAFC5E0ED36DF1"/>
                </w:placeholder>
              </w:sdtPr>
              <w:sdtEndPr>
                <w:rPr>
                  <w:rFonts w:cstheme="minorBidi"/>
                  <w:szCs w:val="22"/>
                </w:rPr>
              </w:sdtEndPr>
              <w:sdtContent>
                <w:r>
                  <w:rPr>
                    <w:rFonts w:cs="Times New Roman"/>
                    <w:szCs w:val="24"/>
                  </w:rPr>
                  <w:t>Senate Research Center</w:t>
                </w:r>
              </w:sdtContent>
            </w:sdt>
          </w:p>
        </w:tc>
        <w:tc>
          <w:tcPr>
            <w:tcW w:w="6858" w:type="dxa"/>
          </w:tcPr>
          <w:p w:rsidR="002F5C8F" w:rsidRPr="00FF6471" w:rsidRDefault="002F5C8F" w:rsidP="000F1DF9">
            <w:pPr>
              <w:jc w:val="right"/>
              <w:rPr>
                <w:rFonts w:cs="Times New Roman"/>
                <w:szCs w:val="24"/>
              </w:rPr>
            </w:pPr>
            <w:sdt>
              <w:sdtPr>
                <w:rPr>
                  <w:rFonts w:cs="Times New Roman"/>
                  <w:szCs w:val="24"/>
                </w:rPr>
                <w:alias w:val="Bill Number"/>
                <w:tag w:val="BillNumberOne"/>
                <w:id w:val="-410784069"/>
                <w:lock w:val="sdtContentLocked"/>
                <w:placeholder>
                  <w:docPart w:val="44D3D1872277490D81C1E5C76F1E12B4"/>
                </w:placeholder>
              </w:sdtPr>
              <w:sdtContent>
                <w:r>
                  <w:rPr>
                    <w:rFonts w:cs="Times New Roman"/>
                    <w:szCs w:val="24"/>
                  </w:rPr>
                  <w:t>S.B. 195</w:t>
                </w:r>
              </w:sdtContent>
            </w:sdt>
          </w:p>
        </w:tc>
      </w:tr>
      <w:tr w:rsidR="002F5C8F" w:rsidTr="000F1DF9">
        <w:sdt>
          <w:sdtPr>
            <w:rPr>
              <w:rFonts w:cs="Times New Roman"/>
              <w:szCs w:val="24"/>
            </w:rPr>
            <w:alias w:val="TLCNumber"/>
            <w:tag w:val="TLCNumber"/>
            <w:id w:val="-542600604"/>
            <w:lock w:val="sdtLocked"/>
            <w:placeholder>
              <w:docPart w:val="640DE58AFC624B3C990F1776CD12BDC5"/>
            </w:placeholder>
          </w:sdtPr>
          <w:sdtContent>
            <w:tc>
              <w:tcPr>
                <w:tcW w:w="2718" w:type="dxa"/>
              </w:tcPr>
              <w:p w:rsidR="002F5C8F" w:rsidRPr="000F1DF9" w:rsidRDefault="002F5C8F" w:rsidP="00C65088">
                <w:pPr>
                  <w:rPr>
                    <w:rFonts w:cs="Times New Roman"/>
                    <w:szCs w:val="24"/>
                  </w:rPr>
                </w:pPr>
                <w:r>
                  <w:rPr>
                    <w:rFonts w:cs="Times New Roman"/>
                    <w:szCs w:val="24"/>
                  </w:rPr>
                  <w:t>87R1701 JAM-D</w:t>
                </w:r>
              </w:p>
            </w:tc>
          </w:sdtContent>
        </w:sdt>
        <w:tc>
          <w:tcPr>
            <w:tcW w:w="6858" w:type="dxa"/>
          </w:tcPr>
          <w:p w:rsidR="002F5C8F" w:rsidRPr="005C2A78" w:rsidRDefault="002F5C8F" w:rsidP="00073EDD">
            <w:pPr>
              <w:jc w:val="right"/>
              <w:rPr>
                <w:rFonts w:cs="Times New Roman"/>
                <w:szCs w:val="24"/>
              </w:rPr>
            </w:pPr>
            <w:sdt>
              <w:sdtPr>
                <w:rPr>
                  <w:rFonts w:cs="Times New Roman"/>
                  <w:szCs w:val="24"/>
                </w:rPr>
                <w:alias w:val="Author Label"/>
                <w:tag w:val="By"/>
                <w:id w:val="72399597"/>
                <w:lock w:val="sdtLocked"/>
                <w:placeholder>
                  <w:docPart w:val="B5D9A9F147BD4FA29A9FA6662E1BF93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43B4C6711B41B4835C6FEA6164C3CC"/>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42EC35FEE898495C9EF37DD69197A9E3"/>
                </w:placeholder>
                <w:showingPlcHdr/>
              </w:sdtPr>
              <w:sdtContent/>
            </w:sdt>
            <w:sdt>
              <w:sdtPr>
                <w:rPr>
                  <w:rFonts w:cs="Times New Roman"/>
                  <w:szCs w:val="24"/>
                </w:rPr>
                <w:alias w:val="DualSponsor"/>
                <w:tag w:val="DualSponsor"/>
                <w:id w:val="1029379812"/>
                <w:lock w:val="sdtContentLocked"/>
                <w:placeholder>
                  <w:docPart w:val="4E679FC030394064B71809D34F20D78F"/>
                </w:placeholder>
                <w:showingPlcHdr/>
              </w:sdtPr>
              <w:sdtContent/>
            </w:sdt>
          </w:p>
        </w:tc>
      </w:tr>
      <w:tr w:rsidR="002F5C8F" w:rsidTr="000F1DF9">
        <w:tc>
          <w:tcPr>
            <w:tcW w:w="2718" w:type="dxa"/>
          </w:tcPr>
          <w:p w:rsidR="002F5C8F" w:rsidRPr="00BC7495" w:rsidRDefault="002F5C8F" w:rsidP="000F1DF9">
            <w:pPr>
              <w:rPr>
                <w:rFonts w:cs="Times New Roman"/>
                <w:szCs w:val="24"/>
              </w:rPr>
            </w:pPr>
          </w:p>
        </w:tc>
        <w:sdt>
          <w:sdtPr>
            <w:rPr>
              <w:rFonts w:cs="Times New Roman"/>
              <w:szCs w:val="24"/>
            </w:rPr>
            <w:alias w:val="Committee"/>
            <w:tag w:val="Committee"/>
            <w:id w:val="1914272295"/>
            <w:lock w:val="sdtContentLocked"/>
            <w:placeholder>
              <w:docPart w:val="7F2A909EC889470BAD0CA45820AD6343"/>
            </w:placeholder>
          </w:sdtPr>
          <w:sdtContent>
            <w:tc>
              <w:tcPr>
                <w:tcW w:w="6858" w:type="dxa"/>
              </w:tcPr>
              <w:p w:rsidR="002F5C8F" w:rsidRPr="00FF6471" w:rsidRDefault="002F5C8F" w:rsidP="000F1DF9">
                <w:pPr>
                  <w:jc w:val="right"/>
                  <w:rPr>
                    <w:rFonts w:cs="Times New Roman"/>
                    <w:szCs w:val="24"/>
                  </w:rPr>
                </w:pPr>
                <w:r>
                  <w:rPr>
                    <w:rFonts w:cs="Times New Roman"/>
                    <w:szCs w:val="24"/>
                  </w:rPr>
                  <w:t>Business &amp; Commerce</w:t>
                </w:r>
              </w:p>
            </w:tc>
          </w:sdtContent>
        </w:sdt>
      </w:tr>
      <w:tr w:rsidR="002F5C8F" w:rsidTr="000F1DF9">
        <w:tc>
          <w:tcPr>
            <w:tcW w:w="2718" w:type="dxa"/>
          </w:tcPr>
          <w:p w:rsidR="002F5C8F" w:rsidRPr="00BC7495" w:rsidRDefault="002F5C8F" w:rsidP="000F1DF9">
            <w:pPr>
              <w:rPr>
                <w:rFonts w:cs="Times New Roman"/>
                <w:szCs w:val="24"/>
              </w:rPr>
            </w:pPr>
          </w:p>
        </w:tc>
        <w:sdt>
          <w:sdtPr>
            <w:rPr>
              <w:rFonts w:cs="Times New Roman"/>
              <w:szCs w:val="24"/>
            </w:rPr>
            <w:alias w:val="Date"/>
            <w:tag w:val="DateContentControl"/>
            <w:id w:val="1178081906"/>
            <w:lock w:val="sdtLocked"/>
            <w:placeholder>
              <w:docPart w:val="9FF46BEA4FAE43B5BBE53B44DF3F9430"/>
            </w:placeholder>
            <w:date w:fullDate="2021-03-26T00:00:00Z">
              <w:dateFormat w:val="M/d/yyyy"/>
              <w:lid w:val="en-US"/>
              <w:storeMappedDataAs w:val="dateTime"/>
              <w:calendar w:val="gregorian"/>
            </w:date>
          </w:sdtPr>
          <w:sdtContent>
            <w:tc>
              <w:tcPr>
                <w:tcW w:w="6858" w:type="dxa"/>
              </w:tcPr>
              <w:p w:rsidR="002F5C8F" w:rsidRPr="00FF6471" w:rsidRDefault="002F5C8F" w:rsidP="000F1DF9">
                <w:pPr>
                  <w:jc w:val="right"/>
                  <w:rPr>
                    <w:rFonts w:cs="Times New Roman"/>
                    <w:szCs w:val="24"/>
                  </w:rPr>
                </w:pPr>
                <w:r>
                  <w:rPr>
                    <w:rFonts w:cs="Times New Roman"/>
                    <w:szCs w:val="24"/>
                  </w:rPr>
                  <w:t>3/26/2021</w:t>
                </w:r>
              </w:p>
            </w:tc>
          </w:sdtContent>
        </w:sdt>
      </w:tr>
      <w:tr w:rsidR="002F5C8F" w:rsidTr="000F1DF9">
        <w:tc>
          <w:tcPr>
            <w:tcW w:w="2718" w:type="dxa"/>
          </w:tcPr>
          <w:p w:rsidR="002F5C8F" w:rsidRPr="00BC7495" w:rsidRDefault="002F5C8F" w:rsidP="000F1DF9">
            <w:pPr>
              <w:rPr>
                <w:rFonts w:cs="Times New Roman"/>
                <w:szCs w:val="24"/>
              </w:rPr>
            </w:pPr>
          </w:p>
        </w:tc>
        <w:sdt>
          <w:sdtPr>
            <w:rPr>
              <w:rFonts w:cs="Times New Roman"/>
              <w:szCs w:val="24"/>
            </w:rPr>
            <w:alias w:val="BA Version"/>
            <w:tag w:val="BAVersion"/>
            <w:id w:val="-1685590809"/>
            <w:lock w:val="sdtContentLocked"/>
            <w:placeholder>
              <w:docPart w:val="00B6734A4DA84FD6BD0A800C462D44E5"/>
            </w:placeholder>
          </w:sdtPr>
          <w:sdtContent>
            <w:tc>
              <w:tcPr>
                <w:tcW w:w="6858" w:type="dxa"/>
              </w:tcPr>
              <w:p w:rsidR="002F5C8F" w:rsidRPr="00FF6471" w:rsidRDefault="002F5C8F" w:rsidP="000F1DF9">
                <w:pPr>
                  <w:jc w:val="right"/>
                  <w:rPr>
                    <w:rFonts w:cs="Times New Roman"/>
                    <w:szCs w:val="24"/>
                  </w:rPr>
                </w:pPr>
                <w:r>
                  <w:rPr>
                    <w:rFonts w:cs="Times New Roman"/>
                    <w:szCs w:val="24"/>
                  </w:rPr>
                  <w:t>As Filed</w:t>
                </w:r>
              </w:p>
            </w:tc>
          </w:sdtContent>
        </w:sdt>
      </w:tr>
    </w:tbl>
    <w:p w:rsidR="002F5C8F" w:rsidRPr="00FF6471" w:rsidRDefault="002F5C8F" w:rsidP="000F1DF9">
      <w:pPr>
        <w:spacing w:after="0" w:line="240" w:lineRule="auto"/>
        <w:rPr>
          <w:rFonts w:cs="Times New Roman"/>
          <w:szCs w:val="24"/>
        </w:rPr>
      </w:pPr>
    </w:p>
    <w:p w:rsidR="002F5C8F" w:rsidRPr="00FF6471" w:rsidRDefault="002F5C8F" w:rsidP="000F1DF9">
      <w:pPr>
        <w:spacing w:after="0" w:line="240" w:lineRule="auto"/>
        <w:rPr>
          <w:rFonts w:cs="Times New Roman"/>
          <w:szCs w:val="24"/>
        </w:rPr>
      </w:pPr>
    </w:p>
    <w:p w:rsidR="002F5C8F" w:rsidRPr="00FF6471" w:rsidRDefault="002F5C8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FC2AE65F844F0ABB437B37875A5F81"/>
        </w:placeholder>
      </w:sdtPr>
      <w:sdtContent>
        <w:p w:rsidR="002F5C8F" w:rsidRDefault="002F5C8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F97BFBCCA684EBBBB079A8B4219DF5F"/>
        </w:placeholder>
      </w:sdtPr>
      <w:sdtContent>
        <w:p w:rsidR="002F5C8F" w:rsidRDefault="002F5C8F" w:rsidP="002F5C8F">
          <w:pPr>
            <w:pStyle w:val="NormalWeb"/>
            <w:spacing w:before="0" w:beforeAutospacing="0" w:after="0" w:afterAutospacing="0"/>
            <w:jc w:val="both"/>
            <w:divId w:val="1560557550"/>
            <w:rPr>
              <w:rFonts w:eastAsia="Times New Roman"/>
              <w:bCs/>
            </w:rPr>
          </w:pPr>
        </w:p>
        <w:p w:rsidR="002F5C8F" w:rsidRDefault="002F5C8F" w:rsidP="002F5C8F">
          <w:pPr>
            <w:pStyle w:val="NormalWeb"/>
            <w:spacing w:before="0" w:beforeAutospacing="0" w:after="0" w:afterAutospacing="0"/>
            <w:jc w:val="both"/>
            <w:divId w:val="1560557550"/>
            <w:rPr>
              <w:color w:val="000000"/>
            </w:rPr>
          </w:pPr>
          <w:r w:rsidRPr="00004986">
            <w:rPr>
              <w:color w:val="000000"/>
            </w:rPr>
            <w:t>Drink solicitation refers to the practice of enticing a customer at a bar or nightclub to purchase a drink at a marked-up price for an employee of the establishment, typically in exchange for companionship. It frequently is associated with organized criminal activity, especially human trafficking and prostitution. Drink solicitation is a criminal act in Texas currently, but a finding of drink solicitation is not an automatic grounds for refusal for an alcoholic beverage license from the Texas Alcoholic Beverage Commission</w:t>
          </w:r>
          <w:r>
            <w:rPr>
              <w:color w:val="000000"/>
            </w:rPr>
            <w:t xml:space="preserve"> (TABC)</w:t>
          </w:r>
          <w:r w:rsidRPr="00004986">
            <w:rPr>
              <w:color w:val="000000"/>
            </w:rPr>
            <w:t>.</w:t>
          </w:r>
        </w:p>
        <w:p w:rsidR="002F5C8F" w:rsidRPr="00004986" w:rsidRDefault="002F5C8F" w:rsidP="002F5C8F">
          <w:pPr>
            <w:pStyle w:val="NormalWeb"/>
            <w:spacing w:before="0" w:beforeAutospacing="0" w:after="0" w:afterAutospacing="0"/>
            <w:jc w:val="both"/>
            <w:divId w:val="1560557550"/>
            <w:rPr>
              <w:color w:val="000000"/>
            </w:rPr>
          </w:pPr>
        </w:p>
        <w:p w:rsidR="002F5C8F" w:rsidRPr="00004986" w:rsidRDefault="002F5C8F" w:rsidP="002F5C8F">
          <w:pPr>
            <w:pStyle w:val="NormalWeb"/>
            <w:spacing w:before="0" w:beforeAutospacing="0" w:after="0" w:afterAutospacing="0"/>
            <w:jc w:val="both"/>
            <w:divId w:val="1560557550"/>
            <w:rPr>
              <w:color w:val="000000"/>
            </w:rPr>
          </w:pPr>
          <w:r>
            <w:rPr>
              <w:color w:val="000000"/>
            </w:rPr>
            <w:t>S.B.</w:t>
          </w:r>
          <w:r w:rsidRPr="00004986">
            <w:rPr>
              <w:color w:val="000000"/>
            </w:rPr>
            <w:t xml:space="preserve"> 195 would add a finding of drink solicitation within the last three years to the list of offenses that trigger an automatic denial of a permit or license application from </w:t>
          </w:r>
          <w:r>
            <w:rPr>
              <w:color w:val="000000"/>
            </w:rPr>
            <w:t>TABC</w:t>
          </w:r>
          <w:r w:rsidRPr="00004986">
            <w:rPr>
              <w:color w:val="000000"/>
            </w:rPr>
            <w:t>.</w:t>
          </w:r>
        </w:p>
        <w:p w:rsidR="002F5C8F" w:rsidRPr="00D70925" w:rsidRDefault="002F5C8F" w:rsidP="002F5C8F">
          <w:pPr>
            <w:spacing w:after="0" w:line="240" w:lineRule="auto"/>
            <w:jc w:val="both"/>
            <w:rPr>
              <w:rFonts w:eastAsia="Times New Roman" w:cs="Times New Roman"/>
              <w:bCs/>
              <w:szCs w:val="24"/>
            </w:rPr>
          </w:pPr>
        </w:p>
      </w:sdtContent>
    </w:sdt>
    <w:p w:rsidR="002F5C8F" w:rsidRDefault="002F5C8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195 </w:t>
      </w:r>
      <w:bookmarkStart w:id="1" w:name="AmendsCurrentLaw"/>
      <w:bookmarkEnd w:id="1"/>
      <w:r>
        <w:rPr>
          <w:rFonts w:cs="Times New Roman"/>
          <w:szCs w:val="24"/>
        </w:rPr>
        <w:t>amends current law relating to grounds for refusal of certain alcoholic beverage licenses and permits.</w:t>
      </w:r>
    </w:p>
    <w:p w:rsidR="002F5C8F" w:rsidRPr="00544346" w:rsidRDefault="002F5C8F" w:rsidP="000F1DF9">
      <w:pPr>
        <w:spacing w:after="0" w:line="240" w:lineRule="auto"/>
        <w:jc w:val="both"/>
        <w:rPr>
          <w:rFonts w:eastAsia="Times New Roman" w:cs="Times New Roman"/>
          <w:szCs w:val="24"/>
        </w:rPr>
      </w:pPr>
    </w:p>
    <w:p w:rsidR="002F5C8F" w:rsidRPr="005C2A78" w:rsidRDefault="002F5C8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E89A79C4B4404CBC11124B7F388A2B"/>
          </w:placeholder>
        </w:sdtPr>
        <w:sdtContent>
          <w:r>
            <w:rPr>
              <w:rFonts w:eastAsia="Times New Roman" w:cs="Times New Roman"/>
              <w:b/>
              <w:szCs w:val="24"/>
              <w:u w:val="single"/>
            </w:rPr>
            <w:t>RULEMAKING AUTHORITY</w:t>
          </w:r>
        </w:sdtContent>
      </w:sdt>
    </w:p>
    <w:p w:rsidR="002F5C8F" w:rsidRPr="006529C4" w:rsidRDefault="002F5C8F" w:rsidP="00774EC7">
      <w:pPr>
        <w:spacing w:after="0" w:line="240" w:lineRule="auto"/>
        <w:jc w:val="both"/>
        <w:rPr>
          <w:rFonts w:cs="Times New Roman"/>
          <w:szCs w:val="24"/>
        </w:rPr>
      </w:pPr>
    </w:p>
    <w:p w:rsidR="002F5C8F" w:rsidRPr="006529C4" w:rsidRDefault="002F5C8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F5C8F" w:rsidRPr="006529C4" w:rsidRDefault="002F5C8F" w:rsidP="00774EC7">
      <w:pPr>
        <w:spacing w:after="0" w:line="240" w:lineRule="auto"/>
        <w:jc w:val="both"/>
        <w:rPr>
          <w:rFonts w:cs="Times New Roman"/>
          <w:szCs w:val="24"/>
        </w:rPr>
      </w:pPr>
    </w:p>
    <w:p w:rsidR="002F5C8F" w:rsidRPr="005C2A78" w:rsidRDefault="002F5C8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CD37196E83E4442B1A7B56F2CA293AF"/>
          </w:placeholder>
        </w:sdtPr>
        <w:sdtContent>
          <w:r>
            <w:rPr>
              <w:rFonts w:eastAsia="Times New Roman" w:cs="Times New Roman"/>
              <w:b/>
              <w:szCs w:val="24"/>
              <w:u w:val="single"/>
            </w:rPr>
            <w:t>SECTION BY SECTION ANALYSIS</w:t>
          </w:r>
        </w:sdtContent>
      </w:sdt>
    </w:p>
    <w:p w:rsidR="002F5C8F" w:rsidRPr="005C2A78" w:rsidRDefault="002F5C8F" w:rsidP="000F1DF9">
      <w:pPr>
        <w:spacing w:after="0" w:line="240" w:lineRule="auto"/>
        <w:jc w:val="both"/>
        <w:rPr>
          <w:rFonts w:eastAsia="Times New Roman" w:cs="Times New Roman"/>
          <w:szCs w:val="24"/>
        </w:rPr>
      </w:pPr>
    </w:p>
    <w:p w:rsidR="002F5C8F" w:rsidRDefault="002F5C8F" w:rsidP="002F5C8F">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11.44(b), Alcoholic Beverage Code, as follows: </w:t>
      </w:r>
    </w:p>
    <w:p w:rsidR="002F5C8F" w:rsidRDefault="002F5C8F" w:rsidP="002F5C8F">
      <w:pPr>
        <w:spacing w:after="0" w:line="240" w:lineRule="auto"/>
        <w:jc w:val="both"/>
      </w:pPr>
    </w:p>
    <w:p w:rsidR="002F5C8F" w:rsidRPr="006F258A" w:rsidRDefault="002F5C8F" w:rsidP="002F5C8F">
      <w:pPr>
        <w:spacing w:after="0" w:line="240" w:lineRule="auto"/>
        <w:ind w:left="720"/>
        <w:jc w:val="both"/>
        <w:rPr>
          <w:rFonts w:eastAsia="Times New Roman" w:cs="Times New Roman"/>
          <w:szCs w:val="24"/>
        </w:rPr>
      </w:pPr>
      <w:r w:rsidRPr="006F258A">
        <w:t xml:space="preserve">(b) Requires the Texas Alcoholic Beverage Commission </w:t>
      </w:r>
      <w:r>
        <w:t xml:space="preserve">(TABC) </w:t>
      </w:r>
      <w:r w:rsidRPr="006F258A">
        <w:t xml:space="preserve">to deny an application for a permit or license for any location of an applicant who submitted a prior application that expired or was voluntarily surrendered before the hearing on the application was held on a protest involving </w:t>
      </w:r>
      <w:r>
        <w:t>certain allegations or offenses, including an offense</w:t>
      </w:r>
      <w:r w:rsidRPr="006F258A">
        <w:t xml:space="preserve"> involving drink solicitation as described by Section 104.01 (Lewd, Immoral, Indecent Conduct) before the third anniversary of the date the prior application expired or was voluntarily surrendered. Makes nonsubstantive changes. </w:t>
      </w:r>
    </w:p>
    <w:p w:rsidR="002F5C8F" w:rsidRPr="005C2A78" w:rsidRDefault="002F5C8F" w:rsidP="002F5C8F">
      <w:pPr>
        <w:spacing w:after="0" w:line="240" w:lineRule="auto"/>
        <w:jc w:val="both"/>
        <w:rPr>
          <w:rFonts w:eastAsia="Times New Roman" w:cs="Times New Roman"/>
          <w:szCs w:val="24"/>
        </w:rPr>
      </w:pPr>
    </w:p>
    <w:p w:rsidR="002F5C8F" w:rsidRPr="00544346" w:rsidRDefault="002F5C8F" w:rsidP="002F5C8F">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t xml:space="preserve">Section 11.46(c), Alcoholic Beverage Code, to require TABC to deny for one year after cancellation an application for a mixed beverage permit or private club registration permit for premises where a license or permit has been cancelled in the preceding 12 months as a result of certain acts or offenses, including an offense involving drink solicitation as described by Section 104.01. Makes nonsubstantive changes. </w:t>
      </w:r>
    </w:p>
    <w:p w:rsidR="002F5C8F" w:rsidRPr="005C2A78" w:rsidRDefault="002F5C8F" w:rsidP="002F5C8F">
      <w:pPr>
        <w:spacing w:after="0" w:line="240" w:lineRule="auto"/>
        <w:jc w:val="both"/>
        <w:rPr>
          <w:rFonts w:eastAsia="Times New Roman" w:cs="Times New Roman"/>
          <w:szCs w:val="24"/>
        </w:rPr>
      </w:pPr>
    </w:p>
    <w:p w:rsidR="002F5C8F" w:rsidRDefault="002F5C8F" w:rsidP="002F5C8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t xml:space="preserve">Section 61.42(c), Alcoholic Beverage Code, as effective September 1, 2021, to require TABC to deny for one year an application for a retail dealer's on-premise license or a wine and malt beverage retailer's permit for a premises where a license or permit has been cancelled during the preceding 12 months as a result of certain acts or offenses, including an offense involving drink solicitation as described by Section 104.01. Makes nonsubstantive changes. </w:t>
      </w:r>
    </w:p>
    <w:p w:rsidR="002F5C8F" w:rsidRDefault="002F5C8F" w:rsidP="002F5C8F">
      <w:pPr>
        <w:spacing w:after="0" w:line="240" w:lineRule="auto"/>
        <w:jc w:val="both"/>
        <w:rPr>
          <w:rFonts w:eastAsia="Times New Roman" w:cs="Times New Roman"/>
          <w:szCs w:val="24"/>
        </w:rPr>
      </w:pPr>
    </w:p>
    <w:p w:rsidR="002F5C8F" w:rsidRDefault="002F5C8F" w:rsidP="002F5C8F">
      <w:pPr>
        <w:spacing w:after="0" w:line="240" w:lineRule="auto"/>
        <w:jc w:val="both"/>
        <w:rPr>
          <w:rFonts w:eastAsia="Times New Roman" w:cs="Times New Roman"/>
          <w:szCs w:val="24"/>
        </w:rPr>
      </w:pPr>
      <w:r>
        <w:rPr>
          <w:rFonts w:eastAsia="Times New Roman" w:cs="Times New Roman"/>
          <w:szCs w:val="24"/>
        </w:rPr>
        <w:t xml:space="preserve">SECTION 4. Provides that </w:t>
      </w:r>
      <w:r>
        <w:t>Sections 11.44(b), 11.46(c), and 61.42(c), Alcoholic Beverage Code, as amended by this Act, apply to an application for an alcoholic beverage permit or license filed on or after the effective date of this Act or pending on the effective date of this Act.</w:t>
      </w:r>
    </w:p>
    <w:p w:rsidR="002F5C8F" w:rsidRDefault="002F5C8F" w:rsidP="002F5C8F">
      <w:pPr>
        <w:spacing w:after="0" w:line="240" w:lineRule="auto"/>
        <w:jc w:val="both"/>
        <w:rPr>
          <w:rFonts w:eastAsia="Times New Roman" w:cs="Times New Roman"/>
          <w:szCs w:val="24"/>
        </w:rPr>
      </w:pPr>
    </w:p>
    <w:p w:rsidR="002F5C8F" w:rsidRPr="00C8671F" w:rsidRDefault="002F5C8F" w:rsidP="002F5C8F">
      <w:pPr>
        <w:spacing w:after="0" w:line="240" w:lineRule="auto"/>
        <w:jc w:val="both"/>
        <w:rPr>
          <w:rFonts w:eastAsia="Times New Roman" w:cs="Times New Roman"/>
          <w:szCs w:val="24"/>
        </w:rPr>
      </w:pPr>
      <w:r>
        <w:rPr>
          <w:rFonts w:eastAsia="Times New Roman" w:cs="Times New Roman"/>
          <w:szCs w:val="24"/>
        </w:rPr>
        <w:t xml:space="preserve">SECTION 5. Effective date: September 1, 2021. </w:t>
      </w:r>
    </w:p>
    <w:sectPr w:rsidR="002F5C8F"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C73" w:rsidRDefault="006E1C73" w:rsidP="000F1DF9">
      <w:pPr>
        <w:spacing w:after="0" w:line="240" w:lineRule="auto"/>
      </w:pPr>
      <w:r>
        <w:separator/>
      </w:r>
    </w:p>
  </w:endnote>
  <w:endnote w:type="continuationSeparator" w:id="0">
    <w:p w:rsidR="006E1C73" w:rsidRDefault="006E1C7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E1C7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5C8F">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F5C8F">
                <w:rPr>
                  <w:sz w:val="20"/>
                  <w:szCs w:val="20"/>
                </w:rPr>
                <w:t>S.B. 195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F5C8F">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E1C7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5C8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5C8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C73" w:rsidRDefault="006E1C73" w:rsidP="000F1DF9">
      <w:pPr>
        <w:spacing w:after="0" w:line="240" w:lineRule="auto"/>
      </w:pPr>
      <w:r>
        <w:separator/>
      </w:r>
    </w:p>
  </w:footnote>
  <w:footnote w:type="continuationSeparator" w:id="0">
    <w:p w:rsidR="006E1C73" w:rsidRDefault="006E1C73"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F5C8F"/>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1C7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E851D"/>
  <w15:docId w15:val="{01321351-73D3-498B-97B6-D6B3C737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5C8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55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F31A74F36E46EABACAA7F00F3FD6BC"/>
        <w:category>
          <w:name w:val="General"/>
          <w:gallery w:val="placeholder"/>
        </w:category>
        <w:types>
          <w:type w:val="bbPlcHdr"/>
        </w:types>
        <w:behaviors>
          <w:behavior w:val="content"/>
        </w:behaviors>
        <w:guid w:val="{1860B6FC-5889-4DBE-A7E1-5819D05DC676}"/>
      </w:docPartPr>
      <w:docPartBody>
        <w:p w:rsidR="00000000" w:rsidRDefault="008E6C26"/>
      </w:docPartBody>
    </w:docPart>
    <w:docPart>
      <w:docPartPr>
        <w:name w:val="56AB6216650A433081BAFC5E0ED36DF1"/>
        <w:category>
          <w:name w:val="General"/>
          <w:gallery w:val="placeholder"/>
        </w:category>
        <w:types>
          <w:type w:val="bbPlcHdr"/>
        </w:types>
        <w:behaviors>
          <w:behavior w:val="content"/>
        </w:behaviors>
        <w:guid w:val="{60301815-0059-4451-B686-E65BF720E5B4}"/>
      </w:docPartPr>
      <w:docPartBody>
        <w:p w:rsidR="00000000" w:rsidRDefault="008E6C26"/>
      </w:docPartBody>
    </w:docPart>
    <w:docPart>
      <w:docPartPr>
        <w:name w:val="44D3D1872277490D81C1E5C76F1E12B4"/>
        <w:category>
          <w:name w:val="General"/>
          <w:gallery w:val="placeholder"/>
        </w:category>
        <w:types>
          <w:type w:val="bbPlcHdr"/>
        </w:types>
        <w:behaviors>
          <w:behavior w:val="content"/>
        </w:behaviors>
        <w:guid w:val="{2E1310C7-A5C5-49BD-ADE0-A55DABED55C8}"/>
      </w:docPartPr>
      <w:docPartBody>
        <w:p w:rsidR="00000000" w:rsidRDefault="008E6C26"/>
      </w:docPartBody>
    </w:docPart>
    <w:docPart>
      <w:docPartPr>
        <w:name w:val="640DE58AFC624B3C990F1776CD12BDC5"/>
        <w:category>
          <w:name w:val="General"/>
          <w:gallery w:val="placeholder"/>
        </w:category>
        <w:types>
          <w:type w:val="bbPlcHdr"/>
        </w:types>
        <w:behaviors>
          <w:behavior w:val="content"/>
        </w:behaviors>
        <w:guid w:val="{5D2F3589-C4AA-444B-8768-0655551B4DC3}"/>
      </w:docPartPr>
      <w:docPartBody>
        <w:p w:rsidR="00000000" w:rsidRDefault="008E6C26"/>
      </w:docPartBody>
    </w:docPart>
    <w:docPart>
      <w:docPartPr>
        <w:name w:val="B5D9A9F147BD4FA29A9FA6662E1BF930"/>
        <w:category>
          <w:name w:val="General"/>
          <w:gallery w:val="placeholder"/>
        </w:category>
        <w:types>
          <w:type w:val="bbPlcHdr"/>
        </w:types>
        <w:behaviors>
          <w:behavior w:val="content"/>
        </w:behaviors>
        <w:guid w:val="{60D6A8F3-2C62-473D-921B-AA4C24E0D781}"/>
      </w:docPartPr>
      <w:docPartBody>
        <w:p w:rsidR="00000000" w:rsidRDefault="008E6C26"/>
      </w:docPartBody>
    </w:docPart>
    <w:docPart>
      <w:docPartPr>
        <w:name w:val="8E43B4C6711B41B4835C6FEA6164C3CC"/>
        <w:category>
          <w:name w:val="General"/>
          <w:gallery w:val="placeholder"/>
        </w:category>
        <w:types>
          <w:type w:val="bbPlcHdr"/>
        </w:types>
        <w:behaviors>
          <w:behavior w:val="content"/>
        </w:behaviors>
        <w:guid w:val="{04F0BDB8-2B5F-49B6-AE7F-0EEBBDB9F707}"/>
      </w:docPartPr>
      <w:docPartBody>
        <w:p w:rsidR="00000000" w:rsidRDefault="008E6C26"/>
      </w:docPartBody>
    </w:docPart>
    <w:docPart>
      <w:docPartPr>
        <w:name w:val="42EC35FEE898495C9EF37DD69197A9E3"/>
        <w:category>
          <w:name w:val="General"/>
          <w:gallery w:val="placeholder"/>
        </w:category>
        <w:types>
          <w:type w:val="bbPlcHdr"/>
        </w:types>
        <w:behaviors>
          <w:behavior w:val="content"/>
        </w:behaviors>
        <w:guid w:val="{398D619F-5876-4F10-8353-26943427D127}"/>
      </w:docPartPr>
      <w:docPartBody>
        <w:p w:rsidR="00000000" w:rsidRDefault="008E6C26"/>
      </w:docPartBody>
    </w:docPart>
    <w:docPart>
      <w:docPartPr>
        <w:name w:val="4E679FC030394064B71809D34F20D78F"/>
        <w:category>
          <w:name w:val="General"/>
          <w:gallery w:val="placeholder"/>
        </w:category>
        <w:types>
          <w:type w:val="bbPlcHdr"/>
        </w:types>
        <w:behaviors>
          <w:behavior w:val="content"/>
        </w:behaviors>
        <w:guid w:val="{56316074-B4A2-4B92-AB31-F7006D922A29}"/>
      </w:docPartPr>
      <w:docPartBody>
        <w:p w:rsidR="00000000" w:rsidRDefault="008E6C26"/>
      </w:docPartBody>
    </w:docPart>
    <w:docPart>
      <w:docPartPr>
        <w:name w:val="7F2A909EC889470BAD0CA45820AD6343"/>
        <w:category>
          <w:name w:val="General"/>
          <w:gallery w:val="placeholder"/>
        </w:category>
        <w:types>
          <w:type w:val="bbPlcHdr"/>
        </w:types>
        <w:behaviors>
          <w:behavior w:val="content"/>
        </w:behaviors>
        <w:guid w:val="{FEA98ED0-13B1-4F77-A6EC-B8085187CFB6}"/>
      </w:docPartPr>
      <w:docPartBody>
        <w:p w:rsidR="00000000" w:rsidRDefault="008E6C26"/>
      </w:docPartBody>
    </w:docPart>
    <w:docPart>
      <w:docPartPr>
        <w:name w:val="9FF46BEA4FAE43B5BBE53B44DF3F9430"/>
        <w:category>
          <w:name w:val="General"/>
          <w:gallery w:val="placeholder"/>
        </w:category>
        <w:types>
          <w:type w:val="bbPlcHdr"/>
        </w:types>
        <w:behaviors>
          <w:behavior w:val="content"/>
        </w:behaviors>
        <w:guid w:val="{3B6DB40D-0258-4620-84CD-A1F6FD08A2A8}"/>
      </w:docPartPr>
      <w:docPartBody>
        <w:p w:rsidR="00000000" w:rsidRDefault="005D7161" w:rsidP="005D7161">
          <w:pPr>
            <w:pStyle w:val="9FF46BEA4FAE43B5BBE53B44DF3F9430"/>
          </w:pPr>
          <w:r w:rsidRPr="00A30DD1">
            <w:rPr>
              <w:rStyle w:val="PlaceholderText"/>
            </w:rPr>
            <w:t>Click here to enter a date.</w:t>
          </w:r>
        </w:p>
      </w:docPartBody>
    </w:docPart>
    <w:docPart>
      <w:docPartPr>
        <w:name w:val="00B6734A4DA84FD6BD0A800C462D44E5"/>
        <w:category>
          <w:name w:val="General"/>
          <w:gallery w:val="placeholder"/>
        </w:category>
        <w:types>
          <w:type w:val="bbPlcHdr"/>
        </w:types>
        <w:behaviors>
          <w:behavior w:val="content"/>
        </w:behaviors>
        <w:guid w:val="{93666F11-343D-470D-9EEA-5879F17157F1}"/>
      </w:docPartPr>
      <w:docPartBody>
        <w:p w:rsidR="00000000" w:rsidRDefault="008E6C26"/>
      </w:docPartBody>
    </w:docPart>
    <w:docPart>
      <w:docPartPr>
        <w:name w:val="60FC2AE65F844F0ABB437B37875A5F81"/>
        <w:category>
          <w:name w:val="General"/>
          <w:gallery w:val="placeholder"/>
        </w:category>
        <w:types>
          <w:type w:val="bbPlcHdr"/>
        </w:types>
        <w:behaviors>
          <w:behavior w:val="content"/>
        </w:behaviors>
        <w:guid w:val="{A9A2B51F-126C-4335-AD9D-8F246F3E0908}"/>
      </w:docPartPr>
      <w:docPartBody>
        <w:p w:rsidR="00000000" w:rsidRDefault="008E6C26"/>
      </w:docPartBody>
    </w:docPart>
    <w:docPart>
      <w:docPartPr>
        <w:name w:val="FF97BFBCCA684EBBBB079A8B4219DF5F"/>
        <w:category>
          <w:name w:val="General"/>
          <w:gallery w:val="placeholder"/>
        </w:category>
        <w:types>
          <w:type w:val="bbPlcHdr"/>
        </w:types>
        <w:behaviors>
          <w:behavior w:val="content"/>
        </w:behaviors>
        <w:guid w:val="{E068FAEC-C36D-4DFE-A135-803B8B4EDF3E}"/>
      </w:docPartPr>
      <w:docPartBody>
        <w:p w:rsidR="00000000" w:rsidRDefault="005D7161" w:rsidP="005D7161">
          <w:pPr>
            <w:pStyle w:val="FF97BFBCCA684EBBBB079A8B4219DF5F"/>
          </w:pPr>
          <w:r>
            <w:rPr>
              <w:rFonts w:eastAsia="Times New Roman" w:cs="Times New Roman"/>
              <w:bCs/>
              <w:szCs w:val="24"/>
            </w:rPr>
            <w:t xml:space="preserve"> </w:t>
          </w:r>
        </w:p>
      </w:docPartBody>
    </w:docPart>
    <w:docPart>
      <w:docPartPr>
        <w:name w:val="21E89A79C4B4404CBC11124B7F388A2B"/>
        <w:category>
          <w:name w:val="General"/>
          <w:gallery w:val="placeholder"/>
        </w:category>
        <w:types>
          <w:type w:val="bbPlcHdr"/>
        </w:types>
        <w:behaviors>
          <w:behavior w:val="content"/>
        </w:behaviors>
        <w:guid w:val="{EC5C6628-59B4-4F13-B3A0-ABFA794BBDB4}"/>
      </w:docPartPr>
      <w:docPartBody>
        <w:p w:rsidR="00000000" w:rsidRDefault="008E6C26"/>
      </w:docPartBody>
    </w:docPart>
    <w:docPart>
      <w:docPartPr>
        <w:name w:val="1CD37196E83E4442B1A7B56F2CA293AF"/>
        <w:category>
          <w:name w:val="General"/>
          <w:gallery w:val="placeholder"/>
        </w:category>
        <w:types>
          <w:type w:val="bbPlcHdr"/>
        </w:types>
        <w:behaviors>
          <w:behavior w:val="content"/>
        </w:behaviors>
        <w:guid w:val="{8193191E-1A32-4944-850A-92E57EB59A17}"/>
      </w:docPartPr>
      <w:docPartBody>
        <w:p w:rsidR="00000000" w:rsidRDefault="008E6C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5D7161"/>
    <w:rsid w:val="00635291"/>
    <w:rsid w:val="006959CC"/>
    <w:rsid w:val="00696675"/>
    <w:rsid w:val="006B0016"/>
    <w:rsid w:val="008C55F7"/>
    <w:rsid w:val="008E6C26"/>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16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FF46BEA4FAE43B5BBE53B44DF3F9430">
    <w:name w:val="9FF46BEA4FAE43B5BBE53B44DF3F9430"/>
    <w:rsid w:val="005D7161"/>
    <w:pPr>
      <w:spacing w:after="160" w:line="259" w:lineRule="auto"/>
    </w:pPr>
  </w:style>
  <w:style w:type="paragraph" w:customStyle="1" w:styleId="FF97BFBCCA684EBBBB079A8B4219DF5F">
    <w:name w:val="FF97BFBCCA684EBBBB079A8B4219DF5F"/>
    <w:rsid w:val="005D71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F9C8B37-36E1-4C02-BCFB-A63CF698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462</Words>
  <Characters>2637</Characters>
  <Application>Microsoft Office Word</Application>
  <DocSecurity>0</DocSecurity>
  <Lines>21</Lines>
  <Paragraphs>6</Paragraphs>
  <ScaleCrop>false</ScaleCrop>
  <Company>Texas Legislative Council</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2021-03-27T00:58:00Z</cp:lastPrinted>
  <dcterms:created xsi:type="dcterms:W3CDTF">2015-05-29T14:24:00Z</dcterms:created>
  <dcterms:modified xsi:type="dcterms:W3CDTF">2021-03-27T00:58:00Z</dcterms:modified>
</cp:coreProperties>
</file>

<file path=docProps/custom.xml><?xml version="1.0" encoding="utf-8"?>
<op:Properties xmlns:vt="http://schemas.openxmlformats.org/officeDocument/2006/docPropsVTypes" xmlns:op="http://schemas.openxmlformats.org/officeDocument/2006/custom-properties"/>
</file>