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13A19" w14:paraId="22A72F66" w14:textId="77777777" w:rsidTr="00345119">
        <w:tc>
          <w:tcPr>
            <w:tcW w:w="9576" w:type="dxa"/>
            <w:noWrap/>
          </w:tcPr>
          <w:p w14:paraId="52F8822F" w14:textId="77777777" w:rsidR="008423E4" w:rsidRPr="0022177D" w:rsidRDefault="00903FA2" w:rsidP="000E52F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2D22C3B" w14:textId="77777777" w:rsidR="008423E4" w:rsidRPr="0022177D" w:rsidRDefault="008423E4" w:rsidP="000E52FF">
      <w:pPr>
        <w:jc w:val="center"/>
      </w:pPr>
    </w:p>
    <w:p w14:paraId="53F7948C" w14:textId="77777777" w:rsidR="008423E4" w:rsidRPr="00B31F0E" w:rsidRDefault="008423E4" w:rsidP="000E52FF"/>
    <w:p w14:paraId="5C0A92C8" w14:textId="77777777" w:rsidR="008423E4" w:rsidRPr="00742794" w:rsidRDefault="008423E4" w:rsidP="000E52F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3A19" w14:paraId="5527635A" w14:textId="77777777" w:rsidTr="00345119">
        <w:tc>
          <w:tcPr>
            <w:tcW w:w="9576" w:type="dxa"/>
          </w:tcPr>
          <w:p w14:paraId="1CADDDEC" w14:textId="28CFD6BB" w:rsidR="008423E4" w:rsidRPr="00861995" w:rsidRDefault="00903FA2" w:rsidP="000E52FF">
            <w:pPr>
              <w:jc w:val="right"/>
            </w:pPr>
            <w:r>
              <w:t>C.S.S.B. 199</w:t>
            </w:r>
          </w:p>
        </w:tc>
      </w:tr>
      <w:tr w:rsidR="00E13A19" w14:paraId="292CB5EF" w14:textId="77777777" w:rsidTr="00345119">
        <w:tc>
          <w:tcPr>
            <w:tcW w:w="9576" w:type="dxa"/>
          </w:tcPr>
          <w:p w14:paraId="631B4B82" w14:textId="05D92C02" w:rsidR="008423E4" w:rsidRPr="00861995" w:rsidRDefault="00903FA2" w:rsidP="004628FA">
            <w:pPr>
              <w:jc w:val="right"/>
            </w:pPr>
            <w:r>
              <w:t xml:space="preserve">By: </w:t>
            </w:r>
            <w:r w:rsidR="004628FA">
              <w:t>Nelson</w:t>
            </w:r>
          </w:p>
        </w:tc>
      </w:tr>
      <w:tr w:rsidR="00E13A19" w14:paraId="152751CE" w14:textId="77777777" w:rsidTr="00345119">
        <w:tc>
          <w:tcPr>
            <w:tcW w:w="9576" w:type="dxa"/>
          </w:tcPr>
          <w:p w14:paraId="334C6765" w14:textId="3A2EF7DA" w:rsidR="008423E4" w:rsidRPr="00861995" w:rsidRDefault="00903FA2" w:rsidP="000E52FF">
            <w:pPr>
              <w:jc w:val="right"/>
            </w:pPr>
            <w:r>
              <w:t>Public Health</w:t>
            </w:r>
          </w:p>
        </w:tc>
      </w:tr>
      <w:tr w:rsidR="00E13A19" w14:paraId="03E84A5E" w14:textId="77777777" w:rsidTr="00345119">
        <w:tc>
          <w:tcPr>
            <w:tcW w:w="9576" w:type="dxa"/>
          </w:tcPr>
          <w:p w14:paraId="207A0396" w14:textId="3E6B58EE" w:rsidR="008423E4" w:rsidRDefault="00903FA2" w:rsidP="000E52FF">
            <w:pPr>
              <w:jc w:val="right"/>
            </w:pPr>
            <w:r>
              <w:t>Committee Report (Substituted)</w:t>
            </w:r>
          </w:p>
        </w:tc>
      </w:tr>
    </w:tbl>
    <w:p w14:paraId="0179A675" w14:textId="77777777" w:rsidR="008423E4" w:rsidRDefault="008423E4" w:rsidP="000E52FF">
      <w:pPr>
        <w:tabs>
          <w:tab w:val="right" w:pos="9360"/>
        </w:tabs>
      </w:pPr>
    </w:p>
    <w:p w14:paraId="32F393B9" w14:textId="77777777" w:rsidR="008423E4" w:rsidRDefault="008423E4" w:rsidP="000E52FF"/>
    <w:p w14:paraId="4576E30B" w14:textId="77777777" w:rsidR="008423E4" w:rsidRDefault="008423E4" w:rsidP="000E52F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13A19" w14:paraId="514C2502" w14:textId="77777777" w:rsidTr="003E3F0B">
        <w:tc>
          <w:tcPr>
            <w:tcW w:w="9360" w:type="dxa"/>
          </w:tcPr>
          <w:p w14:paraId="7CF1033B" w14:textId="77777777" w:rsidR="008423E4" w:rsidRPr="00A8133F" w:rsidRDefault="00903FA2" w:rsidP="000E52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515FC0C" w14:textId="77777777" w:rsidR="008423E4" w:rsidRDefault="008423E4" w:rsidP="000E52FF"/>
          <w:p w14:paraId="77733DE2" w14:textId="47611580" w:rsidR="008423E4" w:rsidRDefault="00903FA2" w:rsidP="000E52FF">
            <w:pPr>
              <w:pStyle w:val="Header"/>
              <w:jc w:val="both"/>
            </w:pPr>
            <w:r>
              <w:t>The use of an automated external defibrillator</w:t>
            </w:r>
            <w:r w:rsidR="003D554F" w:rsidRPr="003D554F">
              <w:t xml:space="preserve"> can increase </w:t>
            </w:r>
            <w:r>
              <w:t xml:space="preserve">chances of </w:t>
            </w:r>
            <w:r w:rsidR="003D554F" w:rsidRPr="003D554F">
              <w:t xml:space="preserve">survival </w:t>
            </w:r>
            <w:r>
              <w:t xml:space="preserve">in the event of sudden </w:t>
            </w:r>
            <w:r w:rsidR="003D554F" w:rsidRPr="003D554F">
              <w:t>cardiac arrest</w:t>
            </w:r>
            <w:r>
              <w:t xml:space="preserve">. </w:t>
            </w:r>
            <w:r w:rsidR="00583585" w:rsidRPr="00583585">
              <w:t>In 1999</w:t>
            </w:r>
            <w:r w:rsidR="00E356C7">
              <w:t>,</w:t>
            </w:r>
            <w:r w:rsidR="00583585" w:rsidRPr="00583585">
              <w:t xml:space="preserve"> the legislature passed legislation that shields from liability laypersons who use </w:t>
            </w:r>
            <w:r w:rsidR="00411454">
              <w:t>such devices</w:t>
            </w:r>
            <w:r w:rsidR="00583585" w:rsidRPr="00583585">
              <w:t xml:space="preserve"> at the scene of an emergency</w:t>
            </w:r>
            <w:r w:rsidR="00EC2400">
              <w:t>, which</w:t>
            </w:r>
            <w:r w:rsidR="00583585" w:rsidRPr="00583585">
              <w:t xml:space="preserve"> </w:t>
            </w:r>
            <w:r w:rsidR="009F38D5">
              <w:t xml:space="preserve">has </w:t>
            </w:r>
            <w:r w:rsidR="00583585" w:rsidRPr="00583585">
              <w:t>led to widespread us</w:t>
            </w:r>
            <w:r w:rsidR="009F38D5">
              <w:t>e</w:t>
            </w:r>
            <w:r w:rsidR="00583585" w:rsidRPr="00583585">
              <w:t xml:space="preserve"> at gyms, malls, airports, and </w:t>
            </w:r>
            <w:r w:rsidR="009F38D5">
              <w:t>various</w:t>
            </w:r>
            <w:r w:rsidR="009F38D5" w:rsidRPr="00583585">
              <w:t xml:space="preserve"> </w:t>
            </w:r>
            <w:r w:rsidR="00583585" w:rsidRPr="00583585">
              <w:t>businesses</w:t>
            </w:r>
            <w:r w:rsidR="00EC2400">
              <w:t xml:space="preserve"> and </w:t>
            </w:r>
            <w:r w:rsidR="009F38D5">
              <w:t xml:space="preserve">has </w:t>
            </w:r>
            <w:r w:rsidR="00EC2400">
              <w:t>help</w:t>
            </w:r>
            <w:r w:rsidR="009F38D5">
              <w:t xml:space="preserve">ed </w:t>
            </w:r>
            <w:r w:rsidR="00583585" w:rsidRPr="00583585">
              <w:t>sav</w:t>
            </w:r>
            <w:r w:rsidR="00EC2400">
              <w:t>e</w:t>
            </w:r>
            <w:r w:rsidR="00583585" w:rsidRPr="00583585">
              <w:t xml:space="preserve"> countless lives. </w:t>
            </w:r>
            <w:r w:rsidR="00E356C7">
              <w:t>Certain technological a</w:t>
            </w:r>
            <w:r w:rsidR="00583585" w:rsidRPr="00583585">
              <w:t>dvancement</w:t>
            </w:r>
            <w:r w:rsidR="0089603A">
              <w:t>s</w:t>
            </w:r>
            <w:r w:rsidR="00583585" w:rsidRPr="00583585">
              <w:t xml:space="preserve"> </w:t>
            </w:r>
            <w:r w:rsidR="00AA246E">
              <w:t>have</w:t>
            </w:r>
            <w:r w:rsidR="009F38D5">
              <w:t xml:space="preserve"> </w:t>
            </w:r>
            <w:r w:rsidR="00583585" w:rsidRPr="00583585">
              <w:t>ma</w:t>
            </w:r>
            <w:r w:rsidR="009F38D5">
              <w:t>d</w:t>
            </w:r>
            <w:r w:rsidR="00583585" w:rsidRPr="00583585">
              <w:t>e the</w:t>
            </w:r>
            <w:r w:rsidR="00EC2400">
              <w:t>se</w:t>
            </w:r>
            <w:r w:rsidR="00583585" w:rsidRPr="00583585">
              <w:t xml:space="preserve"> devices </w:t>
            </w:r>
            <w:r w:rsidR="00E356C7">
              <w:t>easier</w:t>
            </w:r>
            <w:r w:rsidR="00583585" w:rsidRPr="00583585">
              <w:t xml:space="preserve"> to use, and in many instances</w:t>
            </w:r>
            <w:r w:rsidR="00EC2400">
              <w:t>,</w:t>
            </w:r>
            <w:r w:rsidR="00583585" w:rsidRPr="00583585">
              <w:t xml:space="preserve"> the rescuer is not an employee </w:t>
            </w:r>
            <w:r w:rsidR="009F38D5">
              <w:t xml:space="preserve">of </w:t>
            </w:r>
            <w:r w:rsidR="00AA246E">
              <w:t>a</w:t>
            </w:r>
            <w:r w:rsidR="009F38D5">
              <w:t xml:space="preserve"> business</w:t>
            </w:r>
            <w:r w:rsidR="00AA246E">
              <w:t xml:space="preserve"> providing access to the device,</w:t>
            </w:r>
            <w:r w:rsidR="009F38D5">
              <w:t xml:space="preserve"> </w:t>
            </w:r>
            <w:r w:rsidR="00583585" w:rsidRPr="00583585">
              <w:t>but</w:t>
            </w:r>
            <w:r w:rsidR="009F38D5">
              <w:t xml:space="preserve"> rather</w:t>
            </w:r>
            <w:r w:rsidR="00583585" w:rsidRPr="00583585">
              <w:t xml:space="preserve"> a customer or bystander. </w:t>
            </w:r>
            <w:r w:rsidR="00EC2400">
              <w:t>C.S.</w:t>
            </w:r>
            <w:r w:rsidR="00583585" w:rsidRPr="00583585">
              <w:t xml:space="preserve">S.B. 199 </w:t>
            </w:r>
            <w:r w:rsidR="00411454">
              <w:t xml:space="preserve">seeks to </w:t>
            </w:r>
            <w:r w:rsidR="003A5200">
              <w:t>provide</w:t>
            </w:r>
            <w:r w:rsidR="009F38D5">
              <w:t xml:space="preserve"> </w:t>
            </w:r>
            <w:r w:rsidR="00811A7F">
              <w:t>certain</w:t>
            </w:r>
            <w:r w:rsidR="00583585" w:rsidRPr="00583585">
              <w:t xml:space="preserve"> liability </w:t>
            </w:r>
            <w:r w:rsidR="003A5200">
              <w:t>exemptions</w:t>
            </w:r>
            <w:r w:rsidR="00583585" w:rsidRPr="00583585">
              <w:t xml:space="preserve"> regarding </w:t>
            </w:r>
            <w:r w:rsidR="00411454">
              <w:t>the</w:t>
            </w:r>
            <w:r w:rsidR="00411454" w:rsidRPr="00583585">
              <w:t xml:space="preserve"> </w:t>
            </w:r>
            <w:r w:rsidR="00583585" w:rsidRPr="00583585">
              <w:t>us</w:t>
            </w:r>
            <w:r w:rsidR="00411454">
              <w:t>e</w:t>
            </w:r>
            <w:r w:rsidR="00CD30CB">
              <w:t xml:space="preserve"> or attempted use</w:t>
            </w:r>
            <w:r w:rsidR="00411454">
              <w:t xml:space="preserve"> of</w:t>
            </w:r>
            <w:r w:rsidR="00D23FA5">
              <w:t xml:space="preserve">, </w:t>
            </w:r>
            <w:r w:rsidR="00CD30CB" w:rsidRPr="00714F5D">
              <w:t>or the failure to use</w:t>
            </w:r>
            <w:r w:rsidR="00D23FA5">
              <w:t>,</w:t>
            </w:r>
            <w:r w:rsidR="00411454">
              <w:t xml:space="preserve"> an automated external defibrillator</w:t>
            </w:r>
            <w:r w:rsidR="00583585" w:rsidRPr="00583585">
              <w:t xml:space="preserve"> to</w:t>
            </w:r>
            <w:r w:rsidR="00411454">
              <w:t xml:space="preserve"> </w:t>
            </w:r>
            <w:r w:rsidR="00D23FA5">
              <w:t xml:space="preserve">a </w:t>
            </w:r>
            <w:r w:rsidR="003A5200">
              <w:t>person or entit</w:t>
            </w:r>
            <w:r w:rsidR="00D23FA5">
              <w:t>y</w:t>
            </w:r>
            <w:r w:rsidR="003A5200">
              <w:t xml:space="preserve"> that own</w:t>
            </w:r>
            <w:r w:rsidR="00D23FA5">
              <w:t>s</w:t>
            </w:r>
            <w:r w:rsidR="00D23FA5" w:rsidRPr="00714F5D">
              <w:t xml:space="preserve">, occupies, manages, or is otherwise responsible for the designated location where </w:t>
            </w:r>
            <w:r w:rsidR="00D23FA5">
              <w:t>the</w:t>
            </w:r>
            <w:r w:rsidR="003A5200">
              <w:t xml:space="preserve"> defibrillator</w:t>
            </w:r>
            <w:r w:rsidR="00D23FA5" w:rsidRPr="00714F5D">
              <w:t xml:space="preserve"> is placed</w:t>
            </w:r>
            <w:r w:rsidR="00D23FA5">
              <w:t xml:space="preserve"> </w:t>
            </w:r>
            <w:r w:rsidR="003A5200">
              <w:t xml:space="preserve">and to </w:t>
            </w:r>
            <w:r w:rsidR="00583585" w:rsidRPr="00583585">
              <w:t>repeal burdensome training requirements to better align training with current technology</w:t>
            </w:r>
            <w:r w:rsidR="003A5200">
              <w:t xml:space="preserve">. The bill also seeks </w:t>
            </w:r>
            <w:r w:rsidR="00E356C7">
              <w:t xml:space="preserve">to ensure that the </w:t>
            </w:r>
            <w:r w:rsidR="00D23FA5">
              <w:t>defibrillator</w:t>
            </w:r>
            <w:r w:rsidR="00E356C7">
              <w:t xml:space="preserve"> is regularly inspected and maintained.</w:t>
            </w:r>
          </w:p>
          <w:p w14:paraId="1B1A0C07" w14:textId="77777777" w:rsidR="008423E4" w:rsidRPr="00E26B13" w:rsidRDefault="008423E4" w:rsidP="000E52FF">
            <w:pPr>
              <w:rPr>
                <w:b/>
              </w:rPr>
            </w:pPr>
          </w:p>
        </w:tc>
      </w:tr>
      <w:tr w:rsidR="00E13A19" w14:paraId="3401584C" w14:textId="77777777" w:rsidTr="003E3F0B">
        <w:tc>
          <w:tcPr>
            <w:tcW w:w="9360" w:type="dxa"/>
          </w:tcPr>
          <w:p w14:paraId="7134ADF7" w14:textId="77777777" w:rsidR="0017725B" w:rsidRDefault="00903FA2" w:rsidP="000E52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D02E0AF" w14:textId="77777777" w:rsidR="0017725B" w:rsidRDefault="0017725B" w:rsidP="000E52FF">
            <w:pPr>
              <w:rPr>
                <w:b/>
                <w:u w:val="single"/>
              </w:rPr>
            </w:pPr>
          </w:p>
          <w:p w14:paraId="47731661" w14:textId="29FA9B71" w:rsidR="00583585" w:rsidRPr="00583585" w:rsidRDefault="00903FA2" w:rsidP="000E52FF">
            <w:pPr>
              <w:jc w:val="both"/>
            </w:pPr>
            <w:r>
              <w:t>It is the committee's opinion that this bill does not e</w:t>
            </w:r>
            <w:r>
              <w:t>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54505EE" w14:textId="77777777" w:rsidR="0017725B" w:rsidRPr="0017725B" w:rsidRDefault="0017725B" w:rsidP="000E52FF">
            <w:pPr>
              <w:rPr>
                <w:b/>
                <w:u w:val="single"/>
              </w:rPr>
            </w:pPr>
          </w:p>
        </w:tc>
      </w:tr>
      <w:tr w:rsidR="00E13A19" w14:paraId="548CED8C" w14:textId="77777777" w:rsidTr="003E3F0B">
        <w:tc>
          <w:tcPr>
            <w:tcW w:w="9360" w:type="dxa"/>
          </w:tcPr>
          <w:p w14:paraId="32A53779" w14:textId="77777777" w:rsidR="008423E4" w:rsidRPr="00A8133F" w:rsidRDefault="00903FA2" w:rsidP="000E52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74DEAF6" w14:textId="77777777" w:rsidR="008423E4" w:rsidRDefault="008423E4" w:rsidP="000E52FF"/>
          <w:p w14:paraId="69C0AA3E" w14:textId="5DE33E41" w:rsidR="00583585" w:rsidRDefault="00903FA2" w:rsidP="000E52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2FFE9452" w14:textId="77777777" w:rsidR="008423E4" w:rsidRPr="00E21FDC" w:rsidRDefault="008423E4" w:rsidP="000E52FF">
            <w:pPr>
              <w:rPr>
                <w:b/>
              </w:rPr>
            </w:pPr>
          </w:p>
        </w:tc>
      </w:tr>
      <w:tr w:rsidR="00E13A19" w14:paraId="45E546AA" w14:textId="77777777" w:rsidTr="003E3F0B">
        <w:tc>
          <w:tcPr>
            <w:tcW w:w="9360" w:type="dxa"/>
          </w:tcPr>
          <w:p w14:paraId="3D81F2F2" w14:textId="77777777" w:rsidR="008423E4" w:rsidRPr="00A8133F" w:rsidRDefault="00903FA2" w:rsidP="000E52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D51F4A6" w14:textId="77777777" w:rsidR="008423E4" w:rsidRDefault="008423E4" w:rsidP="000E52FF"/>
          <w:p w14:paraId="0C2349C4" w14:textId="557E0F75" w:rsidR="009C36CD" w:rsidRDefault="00903FA2" w:rsidP="000E52FF">
            <w:pPr>
              <w:pStyle w:val="Header"/>
              <w:jc w:val="both"/>
            </w:pPr>
            <w:r w:rsidRPr="006C059A">
              <w:t>C.S.S.B. 199</w:t>
            </w:r>
            <w:r w:rsidR="00D56D5E">
              <w:t xml:space="preserve"> amends the </w:t>
            </w:r>
            <w:r w:rsidR="00D56D5E" w:rsidRPr="00D56D5E">
              <w:t>Health and Safety Code</w:t>
            </w:r>
            <w:r w:rsidR="00D56D5E">
              <w:t xml:space="preserve"> to </w:t>
            </w:r>
            <w:r w:rsidR="00360157">
              <w:t>require a</w:t>
            </w:r>
            <w:r w:rsidR="00360157" w:rsidRPr="00360157">
              <w:t xml:space="preserve"> person or entity that owns or leases an automated external defibrillator</w:t>
            </w:r>
            <w:r w:rsidR="00360157">
              <w:t xml:space="preserve"> to conduct a monthly inspection to verify the defibrillator is placed at its designated location, reasonably appears to be ready for use</w:t>
            </w:r>
            <w:r w:rsidR="006A30FE">
              <w:t xml:space="preserve">, </w:t>
            </w:r>
            <w:r w:rsidR="00360157">
              <w:t>and</w:t>
            </w:r>
            <w:r w:rsidR="006A30FE">
              <w:t xml:space="preserve"> </w:t>
            </w:r>
            <w:r w:rsidR="00360157">
              <w:t>does not reasonably appear to be damaged in a manner that could prevent operation.</w:t>
            </w:r>
          </w:p>
          <w:p w14:paraId="18D4817C" w14:textId="77FE5C71" w:rsidR="00A85E14" w:rsidRDefault="00A85E14" w:rsidP="000E52FF">
            <w:pPr>
              <w:pStyle w:val="Header"/>
              <w:jc w:val="both"/>
            </w:pPr>
          </w:p>
          <w:p w14:paraId="5F01A67A" w14:textId="34EAB273" w:rsidR="00B976FA" w:rsidRDefault="00903FA2" w:rsidP="000E52FF">
            <w:pPr>
              <w:pStyle w:val="Header"/>
              <w:jc w:val="both"/>
            </w:pPr>
            <w:r w:rsidRPr="006C059A">
              <w:t>C.S.S.B. 199</w:t>
            </w:r>
            <w:r>
              <w:t xml:space="preserve"> revises provisions</w:t>
            </w:r>
            <w:r w:rsidR="00CE206C">
              <w:t xml:space="preserve"> exempting </w:t>
            </w:r>
            <w:r w:rsidR="00241220">
              <w:t xml:space="preserve">a person or entity </w:t>
            </w:r>
            <w:r w:rsidR="00CE206C">
              <w:t xml:space="preserve">from liability for civil damages </w:t>
            </w:r>
            <w:r>
              <w:t>relating to</w:t>
            </w:r>
            <w:r w:rsidR="00977A32">
              <w:t xml:space="preserve"> the </w:t>
            </w:r>
            <w:r w:rsidR="00977A32" w:rsidRPr="00977A32">
              <w:t>prescription</w:t>
            </w:r>
            <w:r w:rsidR="00A427CB">
              <w:t xml:space="preserve">, </w:t>
            </w:r>
            <w:r w:rsidR="00977A32" w:rsidRPr="00977A32">
              <w:t>acquisition</w:t>
            </w:r>
            <w:r w:rsidR="00945AAD">
              <w:t>, or training in the use</w:t>
            </w:r>
            <w:r w:rsidR="00BE3BF3">
              <w:t xml:space="preserve"> of an </w:t>
            </w:r>
            <w:r w:rsidR="00BE3BF3" w:rsidRPr="00CE206C">
              <w:t>automated external defibrillator</w:t>
            </w:r>
            <w:r>
              <w:t xml:space="preserve"> by doing the following:</w:t>
            </w:r>
          </w:p>
          <w:p w14:paraId="59E781BA" w14:textId="2F990506" w:rsidR="00714F5D" w:rsidRDefault="00903FA2" w:rsidP="000E52FF">
            <w:pPr>
              <w:pStyle w:val="Header"/>
              <w:numPr>
                <w:ilvl w:val="0"/>
                <w:numId w:val="3"/>
              </w:numPr>
              <w:jc w:val="both"/>
            </w:pPr>
            <w:r>
              <w:t>exempts</w:t>
            </w:r>
            <w:r w:rsidR="00945AAD">
              <w:t xml:space="preserve"> the following from liability for </w:t>
            </w:r>
            <w:r w:rsidR="00AF47BF" w:rsidRPr="00AF47BF">
              <w:t xml:space="preserve">civil damages </w:t>
            </w:r>
            <w:r w:rsidR="00AF47BF">
              <w:t xml:space="preserve">related to </w:t>
            </w:r>
            <w:r w:rsidR="00875E94">
              <w:t xml:space="preserve">such prescription, </w:t>
            </w:r>
            <w:r w:rsidR="00875E94" w:rsidRPr="00875E94">
              <w:t>acquisition</w:t>
            </w:r>
            <w:r w:rsidR="00875E94">
              <w:t xml:space="preserve">, or training or any use or attempted use of or the failure to use the defibrillator </w:t>
            </w:r>
            <w:r w:rsidR="00AF47BF">
              <w:t>u</w:t>
            </w:r>
            <w:r w:rsidR="00AF47BF" w:rsidRPr="00B976FA">
              <w:t>nless the conduct is wilfully or wantonly negligent</w:t>
            </w:r>
            <w:r w:rsidR="00AF47BF">
              <w:t>:</w:t>
            </w:r>
          </w:p>
          <w:p w14:paraId="39B06EAD" w14:textId="77777777" w:rsidR="00875E94" w:rsidRDefault="00903FA2" w:rsidP="000E52FF">
            <w:pPr>
              <w:pStyle w:val="Header"/>
              <w:numPr>
                <w:ilvl w:val="1"/>
                <w:numId w:val="3"/>
              </w:numPr>
              <w:jc w:val="both"/>
            </w:pPr>
            <w:r w:rsidRPr="002E5822">
              <w:t>a physician who prescribes or is otherwise</w:t>
            </w:r>
            <w:r w:rsidRPr="002E5822">
              <w:t xml:space="preserve"> involved in</w:t>
            </w:r>
            <w:r>
              <w:t xml:space="preserve"> </w:t>
            </w:r>
            <w:r w:rsidRPr="002E5822">
              <w:t xml:space="preserve">the acquisition of </w:t>
            </w:r>
            <w:r>
              <w:t xml:space="preserve">the </w:t>
            </w:r>
            <w:r w:rsidRPr="002E5822">
              <w:t>defibrillator</w:t>
            </w:r>
            <w:r>
              <w:t>; and</w:t>
            </w:r>
          </w:p>
          <w:p w14:paraId="366006A8" w14:textId="5AFE86B8" w:rsidR="00945AAD" w:rsidRDefault="00903FA2" w:rsidP="000E52FF">
            <w:pPr>
              <w:pStyle w:val="Header"/>
              <w:numPr>
                <w:ilvl w:val="1"/>
                <w:numId w:val="3"/>
              </w:numPr>
              <w:jc w:val="both"/>
            </w:pPr>
            <w:r w:rsidRPr="002E5822">
              <w:t xml:space="preserve">any person or entity that provides training in the use of </w:t>
            </w:r>
            <w:r>
              <w:t>the</w:t>
            </w:r>
            <w:r w:rsidRPr="002E5822">
              <w:t xml:space="preserve"> defibrillator</w:t>
            </w:r>
            <w:r w:rsidR="00875E94">
              <w:t>;</w:t>
            </w:r>
          </w:p>
          <w:p w14:paraId="0F3410BA" w14:textId="2A602324" w:rsidR="00AF47BF" w:rsidRDefault="00903FA2" w:rsidP="000E52FF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removes </w:t>
            </w:r>
            <w:r w:rsidR="005B7172">
              <w:t xml:space="preserve">language </w:t>
            </w:r>
            <w:r>
              <w:t>making a</w:t>
            </w:r>
            <w:r w:rsidRPr="007A799F">
              <w:t>ny person or entity that acquires</w:t>
            </w:r>
            <w:r>
              <w:t xml:space="preserve"> such</w:t>
            </w:r>
            <w:r w:rsidRPr="007A799F">
              <w:t xml:space="preserve"> a defibrillator and negligently fails to comply with the </w:t>
            </w:r>
            <w:r>
              <w:t>app</w:t>
            </w:r>
            <w:r>
              <w:t xml:space="preserve">licable </w:t>
            </w:r>
            <w:r w:rsidRPr="007A799F">
              <w:t xml:space="preserve">requirements </w:t>
            </w:r>
            <w:r>
              <w:t xml:space="preserve">regarding the defibrillator </w:t>
            </w:r>
            <w:r w:rsidRPr="007A799F">
              <w:t>liable for civil da</w:t>
            </w:r>
            <w:r>
              <w:t>mages caused by such negligence;</w:t>
            </w:r>
          </w:p>
          <w:p w14:paraId="62655735" w14:textId="67DCC61C" w:rsidR="007B6AB9" w:rsidRDefault="00903FA2" w:rsidP="000E52FF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exempts </w:t>
            </w:r>
            <w:r w:rsidR="000272E2">
              <w:t xml:space="preserve">the following </w:t>
            </w:r>
            <w:r>
              <w:t xml:space="preserve">from </w:t>
            </w:r>
            <w:r w:rsidR="00B65212">
              <w:t xml:space="preserve">liability for </w:t>
            </w:r>
            <w:r w:rsidRPr="00714F5D">
              <w:t xml:space="preserve">civil damages related to the use or attempted use of or the failure to use </w:t>
            </w:r>
            <w:r w:rsidR="00354CC0">
              <w:t>such a</w:t>
            </w:r>
            <w:r w:rsidRPr="00714F5D">
              <w:t xml:space="preserve"> defibrillator unless the conduct</w:t>
            </w:r>
            <w:r w:rsidRPr="00714F5D">
              <w:t xml:space="preserve"> is wilfully or wantonly negligent</w:t>
            </w:r>
            <w:r>
              <w:t>:</w:t>
            </w:r>
          </w:p>
          <w:p w14:paraId="2CDCDD72" w14:textId="138B390B" w:rsidR="007B6AB9" w:rsidRDefault="00903FA2" w:rsidP="000E52FF">
            <w:pPr>
              <w:pStyle w:val="Header"/>
              <w:numPr>
                <w:ilvl w:val="1"/>
                <w:numId w:val="3"/>
              </w:numPr>
              <w:jc w:val="both"/>
            </w:pPr>
            <w:r>
              <w:t>a</w:t>
            </w:r>
            <w:r w:rsidRPr="00714F5D">
              <w:t xml:space="preserve">ny person or entity that acquires </w:t>
            </w:r>
            <w:r w:rsidR="00354CC0">
              <w:t>the</w:t>
            </w:r>
            <w:r w:rsidRPr="00714F5D">
              <w:t xml:space="preserve"> defibrillator</w:t>
            </w:r>
            <w:r>
              <w:t>;</w:t>
            </w:r>
            <w:r w:rsidRPr="00714F5D">
              <w:t xml:space="preserve"> and</w:t>
            </w:r>
          </w:p>
          <w:p w14:paraId="760F9DFF" w14:textId="324981EF" w:rsidR="00714F5D" w:rsidRDefault="00903FA2" w:rsidP="000E52FF">
            <w:pPr>
              <w:pStyle w:val="Header"/>
              <w:numPr>
                <w:ilvl w:val="1"/>
                <w:numId w:val="3"/>
              </w:numPr>
              <w:jc w:val="both"/>
            </w:pPr>
            <w:r w:rsidRPr="00714F5D">
              <w:t>any person or entity that owns, occupies, manages, or is otherwise responsible for the designated location where the defibrillator is placed</w:t>
            </w:r>
            <w:r>
              <w:t>; and</w:t>
            </w:r>
          </w:p>
          <w:p w14:paraId="30D1333B" w14:textId="272F1991" w:rsidR="002F0213" w:rsidRDefault="00903FA2" w:rsidP="000E52FF">
            <w:pPr>
              <w:pStyle w:val="Header"/>
              <w:numPr>
                <w:ilvl w:val="0"/>
                <w:numId w:val="3"/>
              </w:numPr>
              <w:jc w:val="both"/>
            </w:pPr>
            <w:r>
              <w:t>establishes that</w:t>
            </w:r>
            <w:r w:rsidR="000272E2">
              <w:t xml:space="preserve"> </w:t>
            </w:r>
            <w:r>
              <w:t>immunity</w:t>
            </w:r>
            <w:r w:rsidR="00354CC0">
              <w:t xml:space="preserve"> from such liability</w:t>
            </w:r>
            <w:r>
              <w:t xml:space="preserve"> is in addition to any other immunity or limitations of </w:t>
            </w:r>
            <w:r w:rsidR="007B6AB9">
              <w:t xml:space="preserve">liability provided by other law and </w:t>
            </w:r>
            <w:r>
              <w:t xml:space="preserve">applies regardless of whether the person who uses, attempts to use, or fails to use the defibrillator </w:t>
            </w:r>
            <w:r w:rsidR="00354CC0">
              <w:t>received training in the use of the</w:t>
            </w:r>
            <w:r>
              <w:t xml:space="preserve"> defibrillator.</w:t>
            </w:r>
          </w:p>
          <w:p w14:paraId="67C9C726" w14:textId="3D688536" w:rsidR="00F743CD" w:rsidRDefault="00F743CD" w:rsidP="000E52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DCB3916" w14:textId="60231D67" w:rsidR="00F743CD" w:rsidRDefault="00903FA2" w:rsidP="000E52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199</w:t>
            </w:r>
            <w:r w:rsidR="00E13177">
              <w:t xml:space="preserve"> repeals provisions relating to </w:t>
            </w:r>
            <w:r w:rsidR="00E13177" w:rsidRPr="00E13177">
              <w:t>guidelines for automated external defibrillator training</w:t>
            </w:r>
            <w:r w:rsidR="00E13177">
              <w:t xml:space="preserve"> and amends the Education Code to reflect the repeal by </w:t>
            </w:r>
            <w:r w:rsidR="00FA30B1">
              <w:t>revising the requirement for</w:t>
            </w:r>
            <w:r w:rsidR="00FA30B1" w:rsidRPr="00FA30B1">
              <w:t xml:space="preserve"> the State Board for Educator Certification </w:t>
            </w:r>
            <w:r w:rsidR="00FA30B1">
              <w:t>(</w:t>
            </w:r>
            <w:r w:rsidR="00FA30B1" w:rsidRPr="00FA30B1">
              <w:t>SBEC)</w:t>
            </w:r>
            <w:r w:rsidR="00FA30B1">
              <w:t xml:space="preserve"> </w:t>
            </w:r>
            <w:r w:rsidR="00FA30B1" w:rsidRPr="00FA30B1">
              <w:t xml:space="preserve">to adopt rules allowing an educator to receive credit towards the educator's continuing education requirements for completion of an instructional course on the use of </w:t>
            </w:r>
            <w:r w:rsidR="00B30C42">
              <w:t>such a</w:t>
            </w:r>
            <w:r w:rsidR="00FA30B1" w:rsidRPr="00FA30B1">
              <w:t xml:space="preserve"> defibrillator that meets </w:t>
            </w:r>
            <w:r w:rsidR="00FA30B1">
              <w:t>any</w:t>
            </w:r>
            <w:r w:rsidR="00FA30B1" w:rsidRPr="00FA30B1">
              <w:t xml:space="preserve"> guidelines</w:t>
            </w:r>
            <w:r w:rsidR="00FA30B1">
              <w:t xml:space="preserve"> approved </w:t>
            </w:r>
            <w:r w:rsidR="00D918DA">
              <w:t xml:space="preserve">by </w:t>
            </w:r>
            <w:r w:rsidR="00FA30B1">
              <w:t xml:space="preserve">the </w:t>
            </w:r>
            <w:r w:rsidR="00FA30B1" w:rsidRPr="00FA30B1">
              <w:t>SBEC</w:t>
            </w:r>
            <w:r w:rsidR="00FA30B1">
              <w:t>.</w:t>
            </w:r>
          </w:p>
          <w:p w14:paraId="0ADAE0E0" w14:textId="3E8B45EB" w:rsidR="00FA30B1" w:rsidRDefault="00FA30B1" w:rsidP="000E52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19CB8F5" w14:textId="77777777" w:rsidR="00BB2124" w:rsidRDefault="00903FA2" w:rsidP="000E52FF">
            <w:pPr>
              <w:pStyle w:val="Header"/>
              <w:jc w:val="both"/>
            </w:pPr>
            <w:r>
              <w:t xml:space="preserve">C.S.S.B. 199 </w:t>
            </w:r>
            <w:r w:rsidR="00FA30B1" w:rsidRPr="00FA30B1">
              <w:t xml:space="preserve">repeals </w:t>
            </w:r>
            <w:r>
              <w:t>the following provisions:</w:t>
            </w:r>
          </w:p>
          <w:p w14:paraId="26BCD33C" w14:textId="77777777" w:rsidR="00BB2124" w:rsidRDefault="00903FA2" w:rsidP="000E52FF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Section 22.902(b), Education Code; and</w:t>
            </w:r>
          </w:p>
          <w:p w14:paraId="00061613" w14:textId="7C8F765D" w:rsidR="00FA30B1" w:rsidRPr="009C36CD" w:rsidRDefault="00903FA2" w:rsidP="000E52FF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Section 779.002, Health and Safety Code.</w:t>
            </w:r>
          </w:p>
          <w:p w14:paraId="40D1A64A" w14:textId="77777777" w:rsidR="008423E4" w:rsidRPr="00835628" w:rsidRDefault="008423E4" w:rsidP="000E52FF">
            <w:pPr>
              <w:rPr>
                <w:b/>
              </w:rPr>
            </w:pPr>
          </w:p>
        </w:tc>
      </w:tr>
      <w:tr w:rsidR="00E13A19" w14:paraId="01BC965C" w14:textId="77777777" w:rsidTr="003E3F0B">
        <w:tc>
          <w:tcPr>
            <w:tcW w:w="9360" w:type="dxa"/>
          </w:tcPr>
          <w:p w14:paraId="07D4C32D" w14:textId="77777777" w:rsidR="008423E4" w:rsidRPr="00A8133F" w:rsidRDefault="00903FA2" w:rsidP="000E52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850398B" w14:textId="77777777" w:rsidR="008423E4" w:rsidRDefault="008423E4" w:rsidP="000E52FF"/>
          <w:p w14:paraId="08BC32B6" w14:textId="77777777" w:rsidR="008423E4" w:rsidRPr="003624F2" w:rsidRDefault="00903FA2" w:rsidP="000E52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6F21FD9" w14:textId="77777777" w:rsidR="008423E4" w:rsidRPr="00233FDB" w:rsidRDefault="008423E4" w:rsidP="000E52FF">
            <w:pPr>
              <w:rPr>
                <w:b/>
              </w:rPr>
            </w:pPr>
          </w:p>
        </w:tc>
      </w:tr>
      <w:tr w:rsidR="00E13A19" w14:paraId="42F0CB69" w14:textId="77777777" w:rsidTr="003E3F0B">
        <w:tc>
          <w:tcPr>
            <w:tcW w:w="9360" w:type="dxa"/>
          </w:tcPr>
          <w:p w14:paraId="081E20AF" w14:textId="77777777" w:rsidR="004628FA" w:rsidRDefault="00903FA2" w:rsidP="004628F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090E8F08" w14:textId="77777777" w:rsidR="006C059A" w:rsidRDefault="006C059A" w:rsidP="004628FA">
            <w:pPr>
              <w:jc w:val="both"/>
              <w:rPr>
                <w:b/>
                <w:u w:val="single"/>
              </w:rPr>
            </w:pPr>
          </w:p>
          <w:p w14:paraId="06AF04AA" w14:textId="77777777" w:rsidR="003E3F0B" w:rsidRDefault="00903FA2" w:rsidP="003E3F0B">
            <w:pPr>
              <w:jc w:val="both"/>
            </w:pPr>
            <w:r>
              <w:t xml:space="preserve">While C.S.S.B. 199 may differ from the engrossed in minor or </w:t>
            </w:r>
            <w:r>
              <w:t>nonsubstantive ways, the following summarizes the substantial differences between the engrossed and committee substitute versions of the bill.</w:t>
            </w:r>
          </w:p>
          <w:p w14:paraId="0352927A" w14:textId="77777777" w:rsidR="003E3F0B" w:rsidRDefault="003E3F0B" w:rsidP="003E3F0B">
            <w:pPr>
              <w:jc w:val="both"/>
            </w:pPr>
          </w:p>
          <w:p w14:paraId="043D68F9" w14:textId="11CA05F3" w:rsidR="003E3F0B" w:rsidRPr="004628FA" w:rsidRDefault="00903FA2" w:rsidP="003E3F0B">
            <w:pPr>
              <w:jc w:val="both"/>
              <w:rPr>
                <w:b/>
                <w:u w:val="single"/>
              </w:rPr>
            </w:pPr>
            <w:r>
              <w:t xml:space="preserve">The substitute does not include a requirement that appeared in the engrossed for a </w:t>
            </w:r>
            <w:r w:rsidRPr="00203E06">
              <w:t>person or entity that owns or</w:t>
            </w:r>
            <w:r w:rsidRPr="00203E06">
              <w:t xml:space="preserve"> leases an automated external defibrillator </w:t>
            </w:r>
            <w:r>
              <w:t>to ensure a licensed physician is involved in the acquisition of the defibrillator.</w:t>
            </w:r>
          </w:p>
        </w:tc>
      </w:tr>
    </w:tbl>
    <w:p w14:paraId="7CB550DD" w14:textId="77777777" w:rsidR="008423E4" w:rsidRPr="00BE0E75" w:rsidRDefault="008423E4" w:rsidP="000E52FF">
      <w:pPr>
        <w:jc w:val="both"/>
        <w:rPr>
          <w:rFonts w:ascii="Arial" w:hAnsi="Arial"/>
          <w:sz w:val="16"/>
          <w:szCs w:val="16"/>
        </w:rPr>
      </w:pPr>
    </w:p>
    <w:p w14:paraId="52EC2B44" w14:textId="77777777" w:rsidR="004108C3" w:rsidRPr="008423E4" w:rsidRDefault="004108C3" w:rsidP="000E52F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6F3CF" w14:textId="77777777" w:rsidR="00000000" w:rsidRDefault="00903FA2">
      <w:r>
        <w:separator/>
      </w:r>
    </w:p>
  </w:endnote>
  <w:endnote w:type="continuationSeparator" w:id="0">
    <w:p w14:paraId="0C4E1F2A" w14:textId="77777777" w:rsidR="00000000" w:rsidRDefault="0090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D04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3A19" w14:paraId="52EB898B" w14:textId="77777777" w:rsidTr="009C1E9A">
      <w:trPr>
        <w:cantSplit/>
      </w:trPr>
      <w:tc>
        <w:tcPr>
          <w:tcW w:w="0" w:type="pct"/>
        </w:tcPr>
        <w:p w14:paraId="4B186B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CF497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42CE4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F01E0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CBE12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3A19" w14:paraId="4362B11C" w14:textId="77777777" w:rsidTr="009C1E9A">
      <w:trPr>
        <w:cantSplit/>
      </w:trPr>
      <w:tc>
        <w:tcPr>
          <w:tcW w:w="0" w:type="pct"/>
        </w:tcPr>
        <w:p w14:paraId="310869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BC4D3F" w14:textId="6FEE0151" w:rsidR="00EC379B" w:rsidRPr="009C1E9A" w:rsidRDefault="00903F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26169</w:t>
          </w:r>
        </w:p>
      </w:tc>
      <w:tc>
        <w:tcPr>
          <w:tcW w:w="2453" w:type="pct"/>
        </w:tcPr>
        <w:p w14:paraId="14EC2C0D" w14:textId="1B3F6DEA" w:rsidR="00EC379B" w:rsidRDefault="00903F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C7585">
            <w:t>21.130.1419</w:t>
          </w:r>
          <w:r>
            <w:fldChar w:fldCharType="end"/>
          </w:r>
        </w:p>
      </w:tc>
    </w:tr>
    <w:tr w:rsidR="00E13A19" w14:paraId="27F1949A" w14:textId="77777777" w:rsidTr="009C1E9A">
      <w:trPr>
        <w:cantSplit/>
      </w:trPr>
      <w:tc>
        <w:tcPr>
          <w:tcW w:w="0" w:type="pct"/>
        </w:tcPr>
        <w:p w14:paraId="3C31567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BCEDE29" w14:textId="65279B2D" w:rsidR="00EC379B" w:rsidRPr="009C1E9A" w:rsidRDefault="00903F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21263</w:t>
          </w:r>
        </w:p>
      </w:tc>
      <w:tc>
        <w:tcPr>
          <w:tcW w:w="2453" w:type="pct"/>
        </w:tcPr>
        <w:p w14:paraId="5A2D96F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204A9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3A19" w14:paraId="08DF705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9DEADF6" w14:textId="0A2219FB" w:rsidR="00EC379B" w:rsidRDefault="00903F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E0EF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EC4A4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EE5A22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644D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F2D3B" w14:textId="77777777" w:rsidR="00000000" w:rsidRDefault="00903FA2">
      <w:r>
        <w:separator/>
      </w:r>
    </w:p>
  </w:footnote>
  <w:footnote w:type="continuationSeparator" w:id="0">
    <w:p w14:paraId="1D33E1F5" w14:textId="77777777" w:rsidR="00000000" w:rsidRDefault="0090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5C1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9EF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8E1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49CE"/>
    <w:multiLevelType w:val="hybridMultilevel"/>
    <w:tmpl w:val="36BE6EC8"/>
    <w:lvl w:ilvl="0" w:tplc="80F47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414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48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89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44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44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04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4F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9C6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683E"/>
    <w:multiLevelType w:val="hybridMultilevel"/>
    <w:tmpl w:val="D230F116"/>
    <w:lvl w:ilvl="0" w:tplc="4184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AC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04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C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CA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AE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C4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EE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81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4488"/>
    <w:multiLevelType w:val="hybridMultilevel"/>
    <w:tmpl w:val="BF0A6206"/>
    <w:lvl w:ilvl="0" w:tplc="BF8CD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0C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07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CD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2E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AD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4D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05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A2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434"/>
    <w:multiLevelType w:val="hybridMultilevel"/>
    <w:tmpl w:val="D0944924"/>
    <w:lvl w:ilvl="0" w:tplc="CD8AD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A4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AC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A6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44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327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8F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61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86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9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2E2"/>
    <w:rsid w:val="00027E81"/>
    <w:rsid w:val="00030AD8"/>
    <w:rsid w:val="0003107A"/>
    <w:rsid w:val="00031C95"/>
    <w:rsid w:val="00031D6A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2FF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C01"/>
    <w:rsid w:val="00187C1B"/>
    <w:rsid w:val="001908AC"/>
    <w:rsid w:val="00190CFB"/>
    <w:rsid w:val="00193DB0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E06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220"/>
    <w:rsid w:val="00241EC1"/>
    <w:rsid w:val="002431DA"/>
    <w:rsid w:val="0024691D"/>
    <w:rsid w:val="00247D27"/>
    <w:rsid w:val="00250A50"/>
    <w:rsid w:val="0025146C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822"/>
    <w:rsid w:val="002E7DF9"/>
    <w:rsid w:val="002F0213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3AA"/>
    <w:rsid w:val="0035206B"/>
    <w:rsid w:val="003523BD"/>
    <w:rsid w:val="00352681"/>
    <w:rsid w:val="003536AA"/>
    <w:rsid w:val="003544CE"/>
    <w:rsid w:val="00354CC0"/>
    <w:rsid w:val="00355A98"/>
    <w:rsid w:val="00355D7E"/>
    <w:rsid w:val="00357CA1"/>
    <w:rsid w:val="00360157"/>
    <w:rsid w:val="00361FE9"/>
    <w:rsid w:val="003624F2"/>
    <w:rsid w:val="00363647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51E7"/>
    <w:rsid w:val="003A5200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54F"/>
    <w:rsid w:val="003D726D"/>
    <w:rsid w:val="003E0875"/>
    <w:rsid w:val="003E0BB8"/>
    <w:rsid w:val="003E3F0B"/>
    <w:rsid w:val="003E6CB0"/>
    <w:rsid w:val="003F1F26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454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591A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8FA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7EB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585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172"/>
    <w:rsid w:val="005C1496"/>
    <w:rsid w:val="005C17C5"/>
    <w:rsid w:val="005C2B21"/>
    <w:rsid w:val="005C2C00"/>
    <w:rsid w:val="005C4C6F"/>
    <w:rsid w:val="005C5127"/>
    <w:rsid w:val="005C5C90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C8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0FE"/>
    <w:rsid w:val="006A6068"/>
    <w:rsid w:val="006B12AE"/>
    <w:rsid w:val="006B16B3"/>
    <w:rsid w:val="006B1918"/>
    <w:rsid w:val="006B1BF3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59A"/>
    <w:rsid w:val="006C4709"/>
    <w:rsid w:val="006C7542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F5D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E9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99F"/>
    <w:rsid w:val="007A7EC1"/>
    <w:rsid w:val="007B1164"/>
    <w:rsid w:val="007B4FCA"/>
    <w:rsid w:val="007B6AB9"/>
    <w:rsid w:val="007B7B85"/>
    <w:rsid w:val="007C462E"/>
    <w:rsid w:val="007C496B"/>
    <w:rsid w:val="007C6803"/>
    <w:rsid w:val="007C7585"/>
    <w:rsid w:val="007D2892"/>
    <w:rsid w:val="007D2DCC"/>
    <w:rsid w:val="007D32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A7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E94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03A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CD1"/>
    <w:rsid w:val="008D27A5"/>
    <w:rsid w:val="008D2AAB"/>
    <w:rsid w:val="008D309C"/>
    <w:rsid w:val="008D58F9"/>
    <w:rsid w:val="008E3338"/>
    <w:rsid w:val="008E3E79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3FA2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AAD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A32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8D5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7CB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5E14"/>
    <w:rsid w:val="00A932BB"/>
    <w:rsid w:val="00A93579"/>
    <w:rsid w:val="00A93934"/>
    <w:rsid w:val="00A95D51"/>
    <w:rsid w:val="00AA18AE"/>
    <w:rsid w:val="00AA228B"/>
    <w:rsid w:val="00AA246E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EF4"/>
    <w:rsid w:val="00AE2263"/>
    <w:rsid w:val="00AE248E"/>
    <w:rsid w:val="00AE2D12"/>
    <w:rsid w:val="00AE2F06"/>
    <w:rsid w:val="00AE4F1C"/>
    <w:rsid w:val="00AE5053"/>
    <w:rsid w:val="00AF1433"/>
    <w:rsid w:val="00AF47BF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C42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212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6FA"/>
    <w:rsid w:val="00BA146A"/>
    <w:rsid w:val="00BA32EE"/>
    <w:rsid w:val="00BB2124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BF3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876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716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0CB"/>
    <w:rsid w:val="00CD37DA"/>
    <w:rsid w:val="00CD4F2C"/>
    <w:rsid w:val="00CD731C"/>
    <w:rsid w:val="00CE08E8"/>
    <w:rsid w:val="00CE206C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3FA5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D5E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8DA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177"/>
    <w:rsid w:val="00E13374"/>
    <w:rsid w:val="00E13A19"/>
    <w:rsid w:val="00E14079"/>
    <w:rsid w:val="00E15F90"/>
    <w:rsid w:val="00E16D3E"/>
    <w:rsid w:val="00E17167"/>
    <w:rsid w:val="00E17700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6C7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2400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84C"/>
    <w:rsid w:val="00F6514B"/>
    <w:rsid w:val="00F6587F"/>
    <w:rsid w:val="00F67981"/>
    <w:rsid w:val="00F706CA"/>
    <w:rsid w:val="00F70F8D"/>
    <w:rsid w:val="00F71C5A"/>
    <w:rsid w:val="00F733A4"/>
    <w:rsid w:val="00F73925"/>
    <w:rsid w:val="00F743CD"/>
    <w:rsid w:val="00F7758F"/>
    <w:rsid w:val="00F82811"/>
    <w:rsid w:val="00F84153"/>
    <w:rsid w:val="00F85661"/>
    <w:rsid w:val="00F96602"/>
    <w:rsid w:val="00F9735A"/>
    <w:rsid w:val="00FA30B1"/>
    <w:rsid w:val="00FA32FC"/>
    <w:rsid w:val="00FA59FD"/>
    <w:rsid w:val="00FA5D8C"/>
    <w:rsid w:val="00FA6403"/>
    <w:rsid w:val="00FB16CD"/>
    <w:rsid w:val="00FB230B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90A90A-86A1-4974-861C-DB96873E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3E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3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3E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3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3E06"/>
    <w:rPr>
      <w:b/>
      <w:bCs/>
    </w:rPr>
  </w:style>
  <w:style w:type="character" w:styleId="Hyperlink">
    <w:name w:val="Hyperlink"/>
    <w:basedOn w:val="DefaultParagraphFont"/>
    <w:unhideWhenUsed/>
    <w:rsid w:val="00F5684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91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3981</Characters>
  <Application>Microsoft Office Word</Application>
  <DocSecurity>4</DocSecurity>
  <Lines>92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SB00199 (Committee Report (Substituted))</vt:lpstr>
    </vt:vector>
  </TitlesOfParts>
  <Company>State of Texas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26169</dc:subject>
  <dc:creator>State of Texas</dc:creator>
  <dc:description>SB 199 by Nelson-(H)Public Health (Substitute Document Number: 87R 21263)</dc:description>
  <cp:lastModifiedBy>Lauren Bustamante</cp:lastModifiedBy>
  <cp:revision>2</cp:revision>
  <cp:lastPrinted>2003-11-26T17:21:00Z</cp:lastPrinted>
  <dcterms:created xsi:type="dcterms:W3CDTF">2021-05-10T21:28:00Z</dcterms:created>
  <dcterms:modified xsi:type="dcterms:W3CDTF">2021-05-10T21:28:00Z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21.130.1419</vt:lpwstr>
  </property>
</Properties>
</file>