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CD" w:rsidRDefault="003A77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5185A94656461E97253D5B078D9096"/>
          </w:placeholder>
        </w:sdtPr>
        <w:sdtContent>
          <w:r w:rsidRPr="005C2A78">
            <w:rPr>
              <w:rFonts w:cs="Times New Roman"/>
              <w:b/>
              <w:szCs w:val="24"/>
              <w:u w:val="single"/>
            </w:rPr>
            <w:t>BILL ANALYSIS</w:t>
          </w:r>
        </w:sdtContent>
      </w:sdt>
    </w:p>
    <w:p w:rsidR="003A77CD" w:rsidRPr="00585C31" w:rsidRDefault="003A77CD" w:rsidP="000F1DF9">
      <w:pPr>
        <w:spacing w:after="0" w:line="240" w:lineRule="auto"/>
        <w:rPr>
          <w:rFonts w:cs="Times New Roman"/>
          <w:szCs w:val="24"/>
        </w:rPr>
      </w:pPr>
    </w:p>
    <w:p w:rsidR="003A77CD" w:rsidRPr="00585C31" w:rsidRDefault="003A77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77CD" w:rsidTr="000F1DF9">
        <w:tc>
          <w:tcPr>
            <w:tcW w:w="2718" w:type="dxa"/>
          </w:tcPr>
          <w:p w:rsidR="003A77CD" w:rsidRPr="005C2A78" w:rsidRDefault="003A77CD" w:rsidP="006D756B">
            <w:pPr>
              <w:rPr>
                <w:rFonts w:cs="Times New Roman"/>
                <w:szCs w:val="24"/>
              </w:rPr>
            </w:pPr>
            <w:sdt>
              <w:sdtPr>
                <w:rPr>
                  <w:rFonts w:cs="Times New Roman"/>
                  <w:szCs w:val="24"/>
                </w:rPr>
                <w:alias w:val="Agency Title"/>
                <w:tag w:val="AgencyTitleContentControl"/>
                <w:id w:val="1920747753"/>
                <w:lock w:val="sdtContentLocked"/>
                <w:placeholder>
                  <w:docPart w:val="BAD8167141EE456BA5B1E3A7C2DD7EE5"/>
                </w:placeholder>
              </w:sdtPr>
              <w:sdtEndPr>
                <w:rPr>
                  <w:rFonts w:cstheme="minorBidi"/>
                  <w:szCs w:val="22"/>
                </w:rPr>
              </w:sdtEndPr>
              <w:sdtContent>
                <w:r>
                  <w:rPr>
                    <w:rFonts w:cs="Times New Roman"/>
                    <w:szCs w:val="24"/>
                  </w:rPr>
                  <w:t>Senate Research Center</w:t>
                </w:r>
              </w:sdtContent>
            </w:sdt>
          </w:p>
        </w:tc>
        <w:tc>
          <w:tcPr>
            <w:tcW w:w="6858" w:type="dxa"/>
          </w:tcPr>
          <w:p w:rsidR="003A77CD" w:rsidRPr="00FF6471" w:rsidRDefault="003A77CD" w:rsidP="000F1DF9">
            <w:pPr>
              <w:jc w:val="right"/>
              <w:rPr>
                <w:rFonts w:cs="Times New Roman"/>
                <w:szCs w:val="24"/>
              </w:rPr>
            </w:pPr>
            <w:sdt>
              <w:sdtPr>
                <w:rPr>
                  <w:rFonts w:cs="Times New Roman"/>
                  <w:szCs w:val="24"/>
                </w:rPr>
                <w:alias w:val="Bill Number"/>
                <w:tag w:val="BillNumberOne"/>
                <w:id w:val="-410784069"/>
                <w:lock w:val="sdtContentLocked"/>
                <w:placeholder>
                  <w:docPart w:val="A13CCEF53AA44E08A89A38D77C50AEA4"/>
                </w:placeholder>
              </w:sdtPr>
              <w:sdtContent>
                <w:r>
                  <w:rPr>
                    <w:rFonts w:cs="Times New Roman"/>
                    <w:szCs w:val="24"/>
                  </w:rPr>
                  <w:t>C.S.S.B. 207</w:t>
                </w:r>
              </w:sdtContent>
            </w:sdt>
          </w:p>
        </w:tc>
      </w:tr>
      <w:tr w:rsidR="003A77CD" w:rsidTr="000F1DF9">
        <w:sdt>
          <w:sdtPr>
            <w:rPr>
              <w:rFonts w:cs="Times New Roman"/>
              <w:szCs w:val="24"/>
            </w:rPr>
            <w:alias w:val="TLCNumber"/>
            <w:tag w:val="TLCNumber"/>
            <w:id w:val="-542600604"/>
            <w:lock w:val="sdtLocked"/>
            <w:placeholder>
              <w:docPart w:val="8E4960867877419FA71D796B91A09B99"/>
            </w:placeholder>
          </w:sdtPr>
          <w:sdtContent>
            <w:tc>
              <w:tcPr>
                <w:tcW w:w="2718" w:type="dxa"/>
              </w:tcPr>
              <w:p w:rsidR="003A77CD" w:rsidRPr="000F1DF9" w:rsidRDefault="003A77CD" w:rsidP="00C65088">
                <w:pPr>
                  <w:rPr>
                    <w:rFonts w:cs="Times New Roman"/>
                    <w:szCs w:val="24"/>
                  </w:rPr>
                </w:pPr>
                <w:r>
                  <w:rPr>
                    <w:rFonts w:cs="Times New Roman"/>
                    <w:szCs w:val="24"/>
                  </w:rPr>
                  <w:t>87R9693 SCL-F</w:t>
                </w:r>
              </w:p>
            </w:tc>
          </w:sdtContent>
        </w:sdt>
        <w:tc>
          <w:tcPr>
            <w:tcW w:w="6858" w:type="dxa"/>
          </w:tcPr>
          <w:p w:rsidR="003A77CD" w:rsidRPr="005C2A78" w:rsidRDefault="003A77CD" w:rsidP="00073EDD">
            <w:pPr>
              <w:jc w:val="right"/>
              <w:rPr>
                <w:rFonts w:cs="Times New Roman"/>
                <w:szCs w:val="24"/>
              </w:rPr>
            </w:pPr>
            <w:sdt>
              <w:sdtPr>
                <w:rPr>
                  <w:rFonts w:cs="Times New Roman"/>
                  <w:szCs w:val="24"/>
                </w:rPr>
                <w:alias w:val="Author Label"/>
                <w:tag w:val="By"/>
                <w:id w:val="72399597"/>
                <w:lock w:val="sdtLocked"/>
                <w:placeholder>
                  <w:docPart w:val="5C95D2661F7F45D395E4D63516936F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6A51DE2B2F4A5992770FE08C560816"/>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9FCD004770BA49B08A8D06817EC37C3A"/>
                </w:placeholder>
                <w:showingPlcHdr/>
              </w:sdtPr>
              <w:sdtContent/>
            </w:sdt>
            <w:sdt>
              <w:sdtPr>
                <w:rPr>
                  <w:rFonts w:cs="Times New Roman"/>
                  <w:szCs w:val="24"/>
                </w:rPr>
                <w:alias w:val="DualSponsor"/>
                <w:tag w:val="DualSponsor"/>
                <w:id w:val="1029379812"/>
                <w:lock w:val="sdtContentLocked"/>
                <w:placeholder>
                  <w:docPart w:val="03654EE2C14E4C6EA9E6303D24CCB4A9"/>
                </w:placeholder>
                <w:showingPlcHdr/>
              </w:sdtPr>
              <w:sdtContent/>
            </w:sdt>
          </w:p>
        </w:tc>
      </w:tr>
      <w:tr w:rsidR="003A77CD" w:rsidTr="000F1DF9">
        <w:tc>
          <w:tcPr>
            <w:tcW w:w="2718" w:type="dxa"/>
          </w:tcPr>
          <w:p w:rsidR="003A77CD" w:rsidRPr="00BC7495" w:rsidRDefault="003A77CD" w:rsidP="000F1DF9">
            <w:pPr>
              <w:rPr>
                <w:rFonts w:cs="Times New Roman"/>
                <w:szCs w:val="24"/>
              </w:rPr>
            </w:pPr>
          </w:p>
        </w:tc>
        <w:sdt>
          <w:sdtPr>
            <w:rPr>
              <w:rFonts w:cs="Times New Roman"/>
              <w:szCs w:val="24"/>
            </w:rPr>
            <w:alias w:val="Committee"/>
            <w:tag w:val="Committee"/>
            <w:id w:val="1914272295"/>
            <w:lock w:val="sdtContentLocked"/>
            <w:placeholder>
              <w:docPart w:val="A6FC86FC3EEF4E9F920B4C2273D2AA2E"/>
            </w:placeholder>
          </w:sdtPr>
          <w:sdtContent>
            <w:tc>
              <w:tcPr>
                <w:tcW w:w="6858" w:type="dxa"/>
              </w:tcPr>
              <w:p w:rsidR="003A77CD" w:rsidRPr="00FF6471" w:rsidRDefault="003A77CD" w:rsidP="000F1DF9">
                <w:pPr>
                  <w:jc w:val="right"/>
                  <w:rPr>
                    <w:rFonts w:cs="Times New Roman"/>
                    <w:szCs w:val="24"/>
                  </w:rPr>
                </w:pPr>
                <w:r>
                  <w:rPr>
                    <w:rFonts w:cs="Times New Roman"/>
                    <w:szCs w:val="24"/>
                  </w:rPr>
                  <w:t>State Affairs</w:t>
                </w:r>
              </w:p>
            </w:tc>
          </w:sdtContent>
        </w:sdt>
      </w:tr>
      <w:tr w:rsidR="003A77CD" w:rsidTr="000F1DF9">
        <w:tc>
          <w:tcPr>
            <w:tcW w:w="2718" w:type="dxa"/>
          </w:tcPr>
          <w:p w:rsidR="003A77CD" w:rsidRPr="00BC7495" w:rsidRDefault="003A77CD" w:rsidP="000F1DF9">
            <w:pPr>
              <w:rPr>
                <w:rFonts w:cs="Times New Roman"/>
                <w:szCs w:val="24"/>
              </w:rPr>
            </w:pPr>
          </w:p>
        </w:tc>
        <w:sdt>
          <w:sdtPr>
            <w:rPr>
              <w:rFonts w:cs="Times New Roman"/>
              <w:szCs w:val="24"/>
            </w:rPr>
            <w:alias w:val="Date"/>
            <w:tag w:val="DateContentControl"/>
            <w:id w:val="1178081906"/>
            <w:lock w:val="sdtLocked"/>
            <w:placeholder>
              <w:docPart w:val="7626FFF89E91438CA060EB6284822FFF"/>
            </w:placeholder>
            <w:date w:fullDate="2021-04-06T00:00:00Z">
              <w:dateFormat w:val="M/d/yyyy"/>
              <w:lid w:val="en-US"/>
              <w:storeMappedDataAs w:val="dateTime"/>
              <w:calendar w:val="gregorian"/>
            </w:date>
          </w:sdtPr>
          <w:sdtContent>
            <w:tc>
              <w:tcPr>
                <w:tcW w:w="6858" w:type="dxa"/>
              </w:tcPr>
              <w:p w:rsidR="003A77CD" w:rsidRPr="00FF6471" w:rsidRDefault="003A77CD" w:rsidP="000F1DF9">
                <w:pPr>
                  <w:jc w:val="right"/>
                  <w:rPr>
                    <w:rFonts w:cs="Times New Roman"/>
                    <w:szCs w:val="24"/>
                  </w:rPr>
                </w:pPr>
                <w:r>
                  <w:rPr>
                    <w:rFonts w:cs="Times New Roman"/>
                    <w:szCs w:val="24"/>
                  </w:rPr>
                  <w:t>4/6/2021</w:t>
                </w:r>
              </w:p>
            </w:tc>
          </w:sdtContent>
        </w:sdt>
      </w:tr>
      <w:tr w:rsidR="003A77CD" w:rsidTr="000F1DF9">
        <w:tc>
          <w:tcPr>
            <w:tcW w:w="2718" w:type="dxa"/>
          </w:tcPr>
          <w:p w:rsidR="003A77CD" w:rsidRPr="00BC7495" w:rsidRDefault="003A77CD" w:rsidP="000F1DF9">
            <w:pPr>
              <w:rPr>
                <w:rFonts w:cs="Times New Roman"/>
                <w:szCs w:val="24"/>
              </w:rPr>
            </w:pPr>
          </w:p>
        </w:tc>
        <w:sdt>
          <w:sdtPr>
            <w:rPr>
              <w:rFonts w:cs="Times New Roman"/>
              <w:szCs w:val="24"/>
            </w:rPr>
            <w:alias w:val="BA Version"/>
            <w:tag w:val="BAVersion"/>
            <w:id w:val="-1685590809"/>
            <w:lock w:val="sdtContentLocked"/>
            <w:placeholder>
              <w:docPart w:val="2DA995E5C55A40E0868151CC2D41E3EE"/>
            </w:placeholder>
          </w:sdtPr>
          <w:sdtContent>
            <w:tc>
              <w:tcPr>
                <w:tcW w:w="6858" w:type="dxa"/>
              </w:tcPr>
              <w:p w:rsidR="003A77CD" w:rsidRPr="00FF6471" w:rsidRDefault="003A77CD" w:rsidP="000F1DF9">
                <w:pPr>
                  <w:jc w:val="right"/>
                  <w:rPr>
                    <w:rFonts w:cs="Times New Roman"/>
                    <w:szCs w:val="24"/>
                  </w:rPr>
                </w:pPr>
                <w:r>
                  <w:rPr>
                    <w:rFonts w:cs="Times New Roman"/>
                    <w:szCs w:val="24"/>
                  </w:rPr>
                  <w:t>Committee Report (Substituted)</w:t>
                </w:r>
              </w:p>
            </w:tc>
          </w:sdtContent>
        </w:sdt>
      </w:tr>
    </w:tbl>
    <w:p w:rsidR="003A77CD" w:rsidRPr="00FF6471" w:rsidRDefault="003A77CD" w:rsidP="000F1DF9">
      <w:pPr>
        <w:spacing w:after="0" w:line="240" w:lineRule="auto"/>
        <w:rPr>
          <w:rFonts w:cs="Times New Roman"/>
          <w:szCs w:val="24"/>
        </w:rPr>
      </w:pPr>
    </w:p>
    <w:p w:rsidR="003A77CD" w:rsidRPr="00FF6471" w:rsidRDefault="003A77CD" w:rsidP="000F1DF9">
      <w:pPr>
        <w:spacing w:after="0" w:line="240" w:lineRule="auto"/>
        <w:rPr>
          <w:rFonts w:cs="Times New Roman"/>
          <w:szCs w:val="24"/>
        </w:rPr>
      </w:pPr>
    </w:p>
    <w:p w:rsidR="003A77CD" w:rsidRPr="00FF6471" w:rsidRDefault="003A77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F7A2B1635E486C88CFD620E3625505"/>
        </w:placeholder>
      </w:sdtPr>
      <w:sdtContent>
        <w:p w:rsidR="003A77CD" w:rsidRDefault="003A77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02F31965D248B29E761E615F5F804D"/>
        </w:placeholder>
      </w:sdtPr>
      <w:sdtContent>
        <w:p w:rsidR="003A77CD" w:rsidRDefault="003A77CD" w:rsidP="00037841">
          <w:pPr>
            <w:pStyle w:val="NormalWeb"/>
            <w:spacing w:before="0" w:beforeAutospacing="0" w:after="0" w:afterAutospacing="0"/>
            <w:jc w:val="both"/>
            <w:divId w:val="970596721"/>
            <w:rPr>
              <w:rFonts w:eastAsia="Times New Roman"/>
              <w:bCs/>
            </w:rPr>
          </w:pPr>
        </w:p>
        <w:p w:rsidR="003A77CD" w:rsidRPr="007C3223" w:rsidRDefault="003A77CD" w:rsidP="00037841">
          <w:pPr>
            <w:pStyle w:val="NormalWeb"/>
            <w:spacing w:before="0" w:beforeAutospacing="0" w:after="0" w:afterAutospacing="0"/>
            <w:jc w:val="both"/>
            <w:divId w:val="970596721"/>
          </w:pPr>
          <w:r w:rsidRPr="007C3223">
            <w:t>If an injured person succeeds in the civil justice system in proving that another person's wrongful conduct caused the injurious event, the victim is entitled to recover medical expenses paid or incurred in the past, and in reasonable probability will be incurred in the future, to treat the injury. Given the complex nature of medical billing and payment, current law does not adequately provide for how such medical damages should be determined by the jury.</w:t>
          </w:r>
        </w:p>
        <w:p w:rsidR="003A77CD" w:rsidRPr="007C3223" w:rsidRDefault="003A77CD" w:rsidP="00037841">
          <w:pPr>
            <w:pStyle w:val="NormalWeb"/>
            <w:spacing w:before="0" w:beforeAutospacing="0" w:after="0" w:afterAutospacing="0"/>
            <w:jc w:val="both"/>
            <w:divId w:val="970596721"/>
          </w:pPr>
          <w:r w:rsidRPr="007C3223">
            <w:t> </w:t>
          </w:r>
        </w:p>
        <w:p w:rsidR="003A77CD" w:rsidRPr="007C3223" w:rsidRDefault="003A77CD" w:rsidP="00037841">
          <w:pPr>
            <w:pStyle w:val="NormalWeb"/>
            <w:spacing w:before="0" w:beforeAutospacing="0" w:after="0" w:afterAutospacing="0"/>
            <w:jc w:val="both"/>
            <w:divId w:val="970596721"/>
          </w:pPr>
          <w:r w:rsidRPr="007C3223">
            <w:t xml:space="preserve">Current law as interpreted by the Texas Supreme Court provides that a jury should hear about the amount actually paid for medical services by a third party (such as an insurer), not the amount billed by the provider. However, if no third party has paid, often only the provider's billed charges are presented. Weaknesses in current law have created an environment where </w:t>
          </w:r>
          <w:r>
            <w:t xml:space="preserve">a </w:t>
          </w:r>
          <w:r w:rsidRPr="007C3223">
            <w:t>plaintiff's lawyers will sometimes work with cooperative healthcare providers who over-diagnose, over-treat</w:t>
          </w:r>
          <w:r>
            <w:t>,</w:t>
          </w:r>
          <w:r w:rsidRPr="007C3223">
            <w:t xml:space="preserve"> and overbill for the services they provide the plaintiff, turning medical bills into a litigation profit center by avoiding compliance with the "paid or incurred" statute.</w:t>
          </w:r>
        </w:p>
        <w:p w:rsidR="003A77CD" w:rsidRPr="007C3223" w:rsidRDefault="003A77CD" w:rsidP="00037841">
          <w:pPr>
            <w:pStyle w:val="NormalWeb"/>
            <w:spacing w:before="0" w:beforeAutospacing="0" w:after="0" w:afterAutospacing="0"/>
            <w:jc w:val="both"/>
            <w:divId w:val="970596721"/>
          </w:pPr>
          <w:r w:rsidRPr="007C3223">
            <w:t> </w:t>
          </w:r>
        </w:p>
        <w:p w:rsidR="003A77CD" w:rsidRPr="007C3223" w:rsidRDefault="003A77CD" w:rsidP="00037841">
          <w:pPr>
            <w:pStyle w:val="NormalWeb"/>
            <w:spacing w:before="0" w:beforeAutospacing="0" w:after="0" w:afterAutospacing="0"/>
            <w:jc w:val="both"/>
            <w:divId w:val="970596721"/>
          </w:pPr>
          <w:r w:rsidRPr="007C3223">
            <w:t>S.B. 207 addresses the presentation of past and future medical evidence at trial by proposing to amend the "paid or incurred" statute.</w:t>
          </w:r>
        </w:p>
        <w:p w:rsidR="003A77CD" w:rsidRPr="007C3223" w:rsidRDefault="003A77CD" w:rsidP="00037841">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3A77CD" w:rsidRDefault="003A77CD" w:rsidP="000F1DF9">
      <w:pPr>
        <w:spacing w:after="0" w:line="240" w:lineRule="auto"/>
        <w:jc w:val="both"/>
        <w:rPr>
          <w:rFonts w:cs="Times New Roman"/>
          <w:szCs w:val="24"/>
        </w:rPr>
      </w:pPr>
      <w:r>
        <w:rPr>
          <w:rFonts w:cs="Times New Roman"/>
          <w:szCs w:val="24"/>
        </w:rPr>
        <w:t>(Original Author's/Sponsor's Statement of Intent)</w:t>
      </w:r>
    </w:p>
    <w:p w:rsidR="003A77CD" w:rsidRDefault="003A77CD" w:rsidP="000F1DF9">
      <w:pPr>
        <w:spacing w:after="0" w:line="240" w:lineRule="auto"/>
        <w:jc w:val="both"/>
        <w:rPr>
          <w:rFonts w:cs="Times New Roman"/>
          <w:szCs w:val="24"/>
        </w:rPr>
      </w:pPr>
    </w:p>
    <w:p w:rsidR="003A77CD" w:rsidRDefault="003A77CD" w:rsidP="000F1DF9">
      <w:pPr>
        <w:spacing w:after="0" w:line="240" w:lineRule="auto"/>
        <w:jc w:val="both"/>
        <w:rPr>
          <w:rFonts w:eastAsia="Times New Roman" w:cs="Times New Roman"/>
          <w:b/>
          <w:szCs w:val="24"/>
          <w:u w:val="single"/>
        </w:rPr>
      </w:pPr>
      <w:r>
        <w:rPr>
          <w:rFonts w:cs="Times New Roman"/>
          <w:szCs w:val="24"/>
        </w:rPr>
        <w:t xml:space="preserve">C.S.S.B. 207 </w:t>
      </w:r>
      <w:bookmarkStart w:id="1" w:name="AmendsCurrentLaw"/>
      <w:bookmarkEnd w:id="1"/>
      <w:r>
        <w:rPr>
          <w:rFonts w:cs="Times New Roman"/>
          <w:szCs w:val="24"/>
        </w:rPr>
        <w:t>amends current law relating to recovery of medical or health care expenses in civil actions.</w:t>
      </w:r>
    </w:p>
    <w:p w:rsidR="003A77CD" w:rsidRPr="007C3223" w:rsidRDefault="003A77CD" w:rsidP="000F1DF9">
      <w:pPr>
        <w:spacing w:after="0" w:line="240" w:lineRule="auto"/>
        <w:jc w:val="both"/>
        <w:rPr>
          <w:rFonts w:eastAsia="Times New Roman" w:cs="Times New Roman"/>
          <w:szCs w:val="24"/>
        </w:rPr>
      </w:pPr>
    </w:p>
    <w:p w:rsidR="003A77CD" w:rsidRPr="005C2A78" w:rsidRDefault="003A77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6CF50569F3A4C768EEAEF832AA782DA"/>
          </w:placeholder>
        </w:sdtPr>
        <w:sdtContent>
          <w:r>
            <w:rPr>
              <w:rFonts w:eastAsia="Times New Roman" w:cs="Times New Roman"/>
              <w:b/>
              <w:szCs w:val="24"/>
              <w:u w:val="single"/>
            </w:rPr>
            <w:t>RULEMAKING AUTHORITY</w:t>
          </w:r>
        </w:sdtContent>
      </w:sdt>
    </w:p>
    <w:p w:rsidR="003A77CD" w:rsidRPr="006529C4" w:rsidRDefault="003A77CD" w:rsidP="00710C98">
      <w:pPr>
        <w:spacing w:after="0" w:line="240" w:lineRule="auto"/>
        <w:jc w:val="both"/>
        <w:rPr>
          <w:rFonts w:cs="Times New Roman"/>
          <w:szCs w:val="24"/>
        </w:rPr>
      </w:pPr>
    </w:p>
    <w:p w:rsidR="003A77CD" w:rsidRPr="006529C4" w:rsidRDefault="003A77CD" w:rsidP="00710C9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77CD" w:rsidRPr="006529C4" w:rsidRDefault="003A77CD" w:rsidP="00710C98">
      <w:pPr>
        <w:spacing w:after="0" w:line="240" w:lineRule="auto"/>
        <w:jc w:val="both"/>
        <w:rPr>
          <w:rFonts w:cs="Times New Roman"/>
          <w:szCs w:val="24"/>
        </w:rPr>
      </w:pPr>
    </w:p>
    <w:p w:rsidR="003A77CD" w:rsidRPr="005C2A78" w:rsidRDefault="003A77CD" w:rsidP="00710C9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AB09A8B98D4FE4B4ADFBFB58BA9582"/>
          </w:placeholder>
        </w:sdtPr>
        <w:sdtContent>
          <w:r>
            <w:rPr>
              <w:rFonts w:eastAsia="Times New Roman" w:cs="Times New Roman"/>
              <w:b/>
              <w:szCs w:val="24"/>
              <w:u w:val="single"/>
            </w:rPr>
            <w:t>SECTION BY SECTION ANALYSIS</w:t>
          </w:r>
        </w:sdtContent>
      </w:sdt>
    </w:p>
    <w:p w:rsidR="003A77CD"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C705C">
        <w:rPr>
          <w:rFonts w:eastAsia="Times New Roman" w:cs="Times New Roman"/>
          <w:szCs w:val="24"/>
        </w:rPr>
        <w:t>Section 41.0105, Civil Practice and Remedies Code, as follows:</w:t>
      </w:r>
      <w:r>
        <w:rPr>
          <w:rFonts w:eastAsia="Times New Roman" w:cs="Times New Roman"/>
          <w:szCs w:val="24"/>
        </w:rPr>
        <w:t xml:space="preserve"> </w:t>
      </w:r>
    </w:p>
    <w:p w:rsidR="003A77CD"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ind w:left="720"/>
        <w:jc w:val="both"/>
        <w:rPr>
          <w:rFonts w:eastAsia="Times New Roman" w:cs="Times New Roman"/>
          <w:szCs w:val="24"/>
        </w:rPr>
      </w:pPr>
      <w:r w:rsidRPr="004C705C">
        <w:rPr>
          <w:rFonts w:eastAsia="Times New Roman" w:cs="Times New Roman"/>
          <w:szCs w:val="24"/>
        </w:rPr>
        <w:t>Sec. 41.0105.  EVIDENCE RELATING TO A</w:t>
      </w:r>
      <w:r>
        <w:rPr>
          <w:rFonts w:eastAsia="Times New Roman" w:cs="Times New Roman"/>
          <w:szCs w:val="24"/>
        </w:rPr>
        <w:t xml:space="preserve">MOUNT OF ECONOMIC DAMAGES. (a) Creates this subsection from existing text. Provides that in </w:t>
      </w:r>
      <w:r w:rsidRPr="007C3223">
        <w:rPr>
          <w:rFonts w:eastAsia="Times New Roman" w:cs="Times New Roman"/>
          <w:szCs w:val="24"/>
        </w:rPr>
        <w:t>addition to any other limitation under law, recovery of medical or health care expenses</w:t>
      </w:r>
      <w:r>
        <w:rPr>
          <w:rFonts w:eastAsia="Times New Roman" w:cs="Times New Roman"/>
          <w:szCs w:val="24"/>
        </w:rPr>
        <w:t xml:space="preserve"> in a civil action is determined in accordance with this section, rather than </w:t>
      </w:r>
      <w:r w:rsidRPr="007C3223">
        <w:rPr>
          <w:rFonts w:eastAsia="Times New Roman" w:cs="Times New Roman"/>
          <w:szCs w:val="24"/>
        </w:rPr>
        <w:t xml:space="preserve">recovery of medical or </w:t>
      </w:r>
      <w:r>
        <w:rPr>
          <w:rFonts w:eastAsia="Times New Roman" w:cs="Times New Roman"/>
          <w:szCs w:val="24"/>
        </w:rPr>
        <w:t>health care  expenses</w:t>
      </w:r>
      <w:r w:rsidRPr="007C3223">
        <w:rPr>
          <w:rFonts w:eastAsia="Times New Roman" w:cs="Times New Roman"/>
          <w:szCs w:val="24"/>
        </w:rPr>
        <w:t xml:space="preserve"> incurred is limited to the amount actually paid or incurred by or on behalf of the claimant.</w:t>
      </w:r>
    </w:p>
    <w:p w:rsidR="003A77CD" w:rsidRDefault="003A77CD" w:rsidP="00710C98">
      <w:pPr>
        <w:spacing w:after="0" w:line="240" w:lineRule="auto"/>
        <w:ind w:left="720"/>
        <w:jc w:val="both"/>
        <w:rPr>
          <w:rFonts w:eastAsia="Times New Roman" w:cs="Times New Roman"/>
          <w:szCs w:val="24"/>
        </w:rPr>
      </w:pPr>
    </w:p>
    <w:p w:rsidR="003A77CD" w:rsidRDefault="003A77CD" w:rsidP="00710C98">
      <w:pPr>
        <w:spacing w:after="0" w:line="240" w:lineRule="auto"/>
        <w:ind w:left="1440"/>
        <w:jc w:val="both"/>
        <w:rPr>
          <w:rFonts w:eastAsia="Times New Roman" w:cs="Times New Roman"/>
          <w:szCs w:val="24"/>
        </w:rPr>
      </w:pPr>
      <w:r>
        <w:rPr>
          <w:rFonts w:eastAsia="Times New Roman" w:cs="Times New Roman"/>
          <w:szCs w:val="24"/>
        </w:rPr>
        <w:t>(b) Authorizes a party, in a civil action in which medical or health care expenses are actually paid by the claimant, a health benefit plan, workers' compensation insurance, an employer-provided plan, Medicaid, or Medicare, to introduce in evidence only the amounts actually paid to the medical or health care provider for the services provided to the person whose injury or death is the subject of the action.</w:t>
      </w:r>
    </w:p>
    <w:p w:rsidR="003A77CD" w:rsidRDefault="003A77CD" w:rsidP="00710C98">
      <w:pPr>
        <w:spacing w:after="0" w:line="240" w:lineRule="auto"/>
        <w:ind w:left="1440"/>
        <w:jc w:val="both"/>
        <w:rPr>
          <w:rFonts w:eastAsia="Times New Roman" w:cs="Times New Roman"/>
          <w:szCs w:val="24"/>
        </w:rPr>
      </w:pPr>
    </w:p>
    <w:p w:rsidR="003A77CD" w:rsidRDefault="003A77CD" w:rsidP="00710C98">
      <w:pPr>
        <w:spacing w:after="0" w:line="240" w:lineRule="auto"/>
        <w:ind w:left="1440"/>
        <w:jc w:val="both"/>
        <w:rPr>
          <w:rFonts w:eastAsia="Times New Roman" w:cs="Times New Roman"/>
          <w:szCs w:val="24"/>
        </w:rPr>
      </w:pPr>
      <w:r>
        <w:rPr>
          <w:rFonts w:eastAsia="Times New Roman" w:cs="Times New Roman"/>
          <w:szCs w:val="24"/>
        </w:rPr>
        <w:t>(c) Authorizes a party, in a civil action other than an action described by Subsection (b), to introduce evidence that has a tendency to prove the fair and reasonable value of the necessary medical or health care services provided to the  person whose injury or death is the subject of the action.</w:t>
      </w:r>
    </w:p>
    <w:p w:rsidR="003A77CD" w:rsidRDefault="003A77CD" w:rsidP="00710C98">
      <w:pPr>
        <w:spacing w:after="0" w:line="240" w:lineRule="auto"/>
        <w:ind w:left="1440"/>
        <w:jc w:val="both"/>
        <w:rPr>
          <w:rFonts w:eastAsia="Times New Roman" w:cs="Times New Roman"/>
          <w:szCs w:val="24"/>
        </w:rPr>
      </w:pPr>
    </w:p>
    <w:p w:rsidR="003A77CD" w:rsidRDefault="003A77CD" w:rsidP="00710C98">
      <w:pPr>
        <w:spacing w:after="0" w:line="240" w:lineRule="auto"/>
        <w:ind w:left="1440"/>
        <w:jc w:val="both"/>
        <w:rPr>
          <w:rFonts w:eastAsia="Times New Roman" w:cs="Times New Roman"/>
          <w:szCs w:val="24"/>
        </w:rPr>
      </w:pPr>
      <w:r>
        <w:rPr>
          <w:rFonts w:eastAsia="Times New Roman" w:cs="Times New Roman"/>
          <w:szCs w:val="24"/>
        </w:rPr>
        <w:t>(d) Authorizes a party, in any civil action, to introduce in evidence the amounts paid to a medical or health care provider for services provided to the person whose injury or death is the subject of the action by a cafeteria plan or health savings account or by any person to satisfy a copayment or deductible.</w:t>
      </w:r>
    </w:p>
    <w:p w:rsidR="003A77CD" w:rsidRDefault="003A77CD" w:rsidP="00710C98">
      <w:pPr>
        <w:spacing w:after="0" w:line="240" w:lineRule="auto"/>
        <w:ind w:left="1440"/>
        <w:jc w:val="both"/>
        <w:rPr>
          <w:rFonts w:eastAsia="Times New Roman" w:cs="Times New Roman"/>
          <w:szCs w:val="24"/>
        </w:rPr>
      </w:pPr>
    </w:p>
    <w:p w:rsidR="003A77CD" w:rsidRPr="005C2A78" w:rsidRDefault="003A77CD" w:rsidP="00710C98">
      <w:pPr>
        <w:spacing w:after="0" w:line="240" w:lineRule="auto"/>
        <w:ind w:left="1440"/>
        <w:jc w:val="both"/>
        <w:rPr>
          <w:rFonts w:eastAsia="Times New Roman" w:cs="Times New Roman"/>
          <w:szCs w:val="24"/>
        </w:rPr>
      </w:pPr>
      <w:r>
        <w:rPr>
          <w:rFonts w:eastAsia="Times New Roman" w:cs="Times New Roman"/>
          <w:szCs w:val="24"/>
        </w:rPr>
        <w:t>(e) Requires the claimant, in any civil action in which a claimant seeks recovery of medical or health care expenses, to disclose to all parties any formal or informal agreement under which the medical or health care provider who provided the services may wholly or partly refund, rebate, or remit any amount of money or give anything of value to the claimant or anyone associated with the claimant.</w:t>
      </w:r>
    </w:p>
    <w:p w:rsidR="003A77CD"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18.001, Civil Practice and Remedies Code, by amending Subsections (b), (c), (e), (e-1), (h), and (i) and adding Subsection (b-1), as follows:</w:t>
      </w:r>
    </w:p>
    <w:p w:rsidR="003A77CD"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ind w:left="720"/>
        <w:jc w:val="both"/>
        <w:rPr>
          <w:rFonts w:eastAsia="Times New Roman" w:cs="Times New Roman"/>
          <w:szCs w:val="24"/>
        </w:rPr>
      </w:pPr>
      <w:r>
        <w:rPr>
          <w:rFonts w:eastAsia="Times New Roman" w:cs="Times New Roman"/>
          <w:szCs w:val="24"/>
        </w:rPr>
        <w:t>(b)  Provides that, u</w:t>
      </w:r>
      <w:r w:rsidRPr="007C3223">
        <w:rPr>
          <w:rFonts w:eastAsia="Times New Roman" w:cs="Times New Roman"/>
          <w:szCs w:val="24"/>
        </w:rPr>
        <w:t xml:space="preserve">nless </w:t>
      </w:r>
      <w:r>
        <w:rPr>
          <w:rFonts w:eastAsia="Times New Roman" w:cs="Times New Roman"/>
          <w:szCs w:val="24"/>
        </w:rPr>
        <w:t xml:space="preserve">notice of intent to controvert the reasonableness of the amounts charged or the necessity for medical services, rather than </w:t>
      </w:r>
      <w:r w:rsidRPr="007C3223">
        <w:rPr>
          <w:rFonts w:eastAsia="Times New Roman" w:cs="Times New Roman"/>
          <w:szCs w:val="24"/>
        </w:rPr>
        <w:t>a controverting affidavit</w:t>
      </w:r>
      <w:r>
        <w:rPr>
          <w:rFonts w:eastAsia="Times New Roman" w:cs="Times New Roman"/>
          <w:szCs w:val="24"/>
        </w:rPr>
        <w:t>,</w:t>
      </w:r>
      <w:r w:rsidRPr="007C3223">
        <w:rPr>
          <w:rFonts w:eastAsia="Times New Roman" w:cs="Times New Roman"/>
          <w:szCs w:val="24"/>
        </w:rPr>
        <w:t xml:space="preserve"> is served as provided by </w:t>
      </w:r>
      <w:r>
        <w:rPr>
          <w:rFonts w:eastAsia="Times New Roman" w:cs="Times New Roman"/>
          <w:szCs w:val="24"/>
        </w:rPr>
        <w:t>Section 18.001 (</w:t>
      </w:r>
      <w:r w:rsidRPr="007C3223">
        <w:rPr>
          <w:rFonts w:eastAsia="Times New Roman" w:cs="Times New Roman"/>
          <w:szCs w:val="24"/>
        </w:rPr>
        <w:t xml:space="preserve">Affidavit Concerning Cost </w:t>
      </w:r>
      <w:r>
        <w:rPr>
          <w:rFonts w:eastAsia="Times New Roman" w:cs="Times New Roman"/>
          <w:szCs w:val="24"/>
        </w:rPr>
        <w:t>a</w:t>
      </w:r>
      <w:r w:rsidRPr="007C3223">
        <w:rPr>
          <w:rFonts w:eastAsia="Times New Roman" w:cs="Times New Roman"/>
          <w:szCs w:val="24"/>
        </w:rPr>
        <w:t xml:space="preserve">nd Necessity </w:t>
      </w:r>
      <w:r>
        <w:rPr>
          <w:rFonts w:eastAsia="Times New Roman" w:cs="Times New Roman"/>
          <w:szCs w:val="24"/>
        </w:rPr>
        <w:t>o</w:t>
      </w:r>
      <w:r w:rsidRPr="007C3223">
        <w:rPr>
          <w:rFonts w:eastAsia="Times New Roman" w:cs="Times New Roman"/>
          <w:szCs w:val="24"/>
        </w:rPr>
        <w:t>f Services</w:t>
      </w:r>
      <w:r>
        <w:rPr>
          <w:rFonts w:eastAsia="Times New Roman" w:cs="Times New Roman"/>
          <w:szCs w:val="24"/>
        </w:rPr>
        <w:t>)</w:t>
      </w:r>
      <w:r w:rsidRPr="007C3223">
        <w:rPr>
          <w:rFonts w:eastAsia="Times New Roman" w:cs="Times New Roman"/>
          <w:szCs w:val="24"/>
        </w:rPr>
        <w:t>, an affidavit</w:t>
      </w:r>
      <w:r>
        <w:rPr>
          <w:rFonts w:eastAsia="Times New Roman" w:cs="Times New Roman"/>
          <w:szCs w:val="24"/>
        </w:rPr>
        <w:t xml:space="preserve"> complying with this section and stating</w:t>
      </w:r>
      <w:r w:rsidRPr="007C3223">
        <w:rPr>
          <w:rFonts w:eastAsia="Times New Roman" w:cs="Times New Roman"/>
          <w:szCs w:val="24"/>
        </w:rPr>
        <w:t xml:space="preserve"> that the amount a person charged for a service was reasonable at the time and place that the service was provided and that the service was necessary is sufficient evidence to support a finding of fact by judge or jury that the amount charged was reasonable or t</w:t>
      </w:r>
      <w:r>
        <w:rPr>
          <w:rFonts w:eastAsia="Times New Roman" w:cs="Times New Roman"/>
          <w:szCs w:val="24"/>
        </w:rPr>
        <w:t xml:space="preserve">hat the service was necessary. </w:t>
      </w:r>
    </w:p>
    <w:p w:rsidR="003A77CD" w:rsidRDefault="003A77CD" w:rsidP="00710C98">
      <w:pPr>
        <w:spacing w:after="0" w:line="240" w:lineRule="auto"/>
        <w:ind w:left="720"/>
        <w:jc w:val="both"/>
        <w:rPr>
          <w:rFonts w:eastAsia="Times New Roman" w:cs="Times New Roman"/>
          <w:szCs w:val="24"/>
        </w:rPr>
      </w:pPr>
    </w:p>
    <w:p w:rsidR="003A77CD" w:rsidRDefault="003A77CD" w:rsidP="00710C98">
      <w:pPr>
        <w:spacing w:after="0" w:line="240" w:lineRule="auto"/>
        <w:ind w:left="720"/>
        <w:jc w:val="both"/>
        <w:rPr>
          <w:rFonts w:eastAsia="Times New Roman" w:cs="Times New Roman"/>
          <w:szCs w:val="24"/>
        </w:rPr>
      </w:pPr>
      <w:r>
        <w:rPr>
          <w:rFonts w:eastAsia="Times New Roman" w:cs="Times New Roman"/>
          <w:szCs w:val="24"/>
        </w:rPr>
        <w:t xml:space="preserve">(b-1) Provides that, notwithstanding Subsection (b), the reasonableness of charges and the necessity of services are matters for decision by the finder of fact, and the affidavit described by Subsection (b) has no effect except to prove the authenticity of the medical records described by the affidavit if notice of intent to controvert the reasonableness of the amounts charged or necessity for medical services is served as provided by </w:t>
      </w:r>
      <w:r>
        <w:rPr>
          <w:rFonts w:eastAsia="Times New Roman" w:cs="Times New Roman"/>
          <w:szCs w:val="24"/>
        </w:rPr>
        <w:t>Section 18.001</w:t>
      </w:r>
      <w:r>
        <w:rPr>
          <w:rFonts w:eastAsia="Times New Roman" w:cs="Times New Roman"/>
          <w:szCs w:val="24"/>
        </w:rPr>
        <w:t xml:space="preserve"> (Affidavit Concerning Cost and Necessity of Services).</w:t>
      </w:r>
    </w:p>
    <w:p w:rsidR="003A77CD" w:rsidRDefault="003A77CD" w:rsidP="00710C98">
      <w:pPr>
        <w:spacing w:after="0" w:line="240" w:lineRule="auto"/>
        <w:ind w:left="720"/>
        <w:jc w:val="both"/>
        <w:rPr>
          <w:rFonts w:eastAsia="Times New Roman" w:cs="Times New Roman"/>
          <w:szCs w:val="24"/>
        </w:rPr>
      </w:pPr>
    </w:p>
    <w:p w:rsidR="003A77CD" w:rsidRDefault="003A77CD" w:rsidP="00710C98">
      <w:pPr>
        <w:spacing w:after="0" w:line="240" w:lineRule="auto"/>
        <w:ind w:left="720"/>
        <w:jc w:val="both"/>
        <w:rPr>
          <w:rFonts w:eastAsia="Times New Roman" w:cs="Times New Roman"/>
          <w:szCs w:val="24"/>
        </w:rPr>
      </w:pPr>
      <w:r w:rsidRPr="007C3223">
        <w:rPr>
          <w:rFonts w:eastAsia="Times New Roman" w:cs="Times New Roman"/>
          <w:szCs w:val="24"/>
        </w:rPr>
        <w:t xml:space="preserve">(c)  </w:t>
      </w:r>
      <w:r>
        <w:rPr>
          <w:rFonts w:eastAsia="Times New Roman" w:cs="Times New Roman"/>
          <w:szCs w:val="24"/>
        </w:rPr>
        <w:t xml:space="preserve">Requires that the affidavit, among other requirements, </w:t>
      </w:r>
      <w:r w:rsidRPr="007C3223">
        <w:rPr>
          <w:rFonts w:eastAsia="Times New Roman" w:cs="Times New Roman"/>
          <w:szCs w:val="24"/>
        </w:rPr>
        <w:t>include an itemized stat</w:t>
      </w:r>
      <w:r>
        <w:rPr>
          <w:rFonts w:eastAsia="Times New Roman" w:cs="Times New Roman"/>
          <w:szCs w:val="24"/>
        </w:rPr>
        <w:t>ement of the service and charge using the current version of the form CMS-1450 or UB-04 or CMS-1500 or HFCA-1500, as applicable.</w:t>
      </w:r>
    </w:p>
    <w:p w:rsidR="003A77CD" w:rsidRDefault="003A77CD" w:rsidP="00710C98">
      <w:pPr>
        <w:spacing w:after="0" w:line="240" w:lineRule="auto"/>
        <w:ind w:left="720"/>
        <w:jc w:val="both"/>
        <w:rPr>
          <w:rFonts w:eastAsia="Times New Roman" w:cs="Times New Roman"/>
          <w:szCs w:val="24"/>
        </w:rPr>
      </w:pPr>
    </w:p>
    <w:p w:rsidR="003A77CD" w:rsidRPr="007C3223" w:rsidRDefault="003A77CD" w:rsidP="00710C98">
      <w:pPr>
        <w:spacing w:after="0" w:line="240" w:lineRule="auto"/>
        <w:ind w:left="720"/>
        <w:jc w:val="both"/>
        <w:rPr>
          <w:rFonts w:eastAsia="Times New Roman" w:cs="Times New Roman"/>
          <w:szCs w:val="24"/>
        </w:rPr>
      </w:pPr>
      <w:r>
        <w:rPr>
          <w:rFonts w:eastAsia="Times New Roman" w:cs="Times New Roman"/>
          <w:szCs w:val="24"/>
        </w:rPr>
        <w:t xml:space="preserve">(e)  Requires a </w:t>
      </w:r>
      <w:r w:rsidRPr="007C3223">
        <w:rPr>
          <w:rFonts w:eastAsia="Times New Roman" w:cs="Times New Roman"/>
          <w:szCs w:val="24"/>
        </w:rPr>
        <w:t xml:space="preserve">party intending to controvert </w:t>
      </w:r>
      <w:r>
        <w:rPr>
          <w:rFonts w:eastAsia="Times New Roman" w:cs="Times New Roman"/>
          <w:szCs w:val="24"/>
        </w:rPr>
        <w:t xml:space="preserve">the reasonableness of the amounts charged or necessity for medical services to serve notice of that intent, rather than to controvert </w:t>
      </w:r>
      <w:r w:rsidRPr="007C3223">
        <w:rPr>
          <w:rFonts w:eastAsia="Times New Roman" w:cs="Times New Roman"/>
          <w:szCs w:val="24"/>
        </w:rPr>
        <w:t xml:space="preserve">a claim reflected by the affidavit </w:t>
      </w:r>
      <w:r>
        <w:rPr>
          <w:rFonts w:eastAsia="Times New Roman" w:cs="Times New Roman"/>
          <w:szCs w:val="24"/>
        </w:rPr>
        <w:t>to</w:t>
      </w:r>
      <w:r w:rsidRPr="007C3223">
        <w:rPr>
          <w:rFonts w:eastAsia="Times New Roman" w:cs="Times New Roman"/>
          <w:szCs w:val="24"/>
        </w:rPr>
        <w:t xml:space="preserve"> serve a copy of the counteraffidavit</w:t>
      </w:r>
      <w:r>
        <w:rPr>
          <w:rFonts w:eastAsia="Times New Roman" w:cs="Times New Roman"/>
          <w:szCs w:val="24"/>
        </w:rPr>
        <w:t>,</w:t>
      </w:r>
      <w:r w:rsidRPr="007C3223">
        <w:rPr>
          <w:rFonts w:eastAsia="Times New Roman" w:cs="Times New Roman"/>
          <w:szCs w:val="24"/>
        </w:rPr>
        <w:t xml:space="preserve"> on each other party or the party's attorney of record by the earlier of:</w:t>
      </w:r>
    </w:p>
    <w:p w:rsidR="003A77CD" w:rsidRPr="007C3223" w:rsidRDefault="003A77CD" w:rsidP="00710C98">
      <w:pPr>
        <w:spacing w:after="0" w:line="240" w:lineRule="auto"/>
        <w:ind w:left="720"/>
        <w:jc w:val="both"/>
        <w:rPr>
          <w:rFonts w:eastAsia="Times New Roman" w:cs="Times New Roman"/>
          <w:szCs w:val="24"/>
        </w:rPr>
      </w:pPr>
    </w:p>
    <w:p w:rsidR="003A77CD" w:rsidRPr="007C3223" w:rsidRDefault="003A77CD" w:rsidP="00710C98">
      <w:pPr>
        <w:spacing w:after="0" w:line="240" w:lineRule="auto"/>
        <w:ind w:left="1440"/>
        <w:jc w:val="both"/>
        <w:rPr>
          <w:rFonts w:eastAsia="Times New Roman" w:cs="Times New Roman"/>
          <w:szCs w:val="24"/>
        </w:rPr>
      </w:pPr>
      <w:r w:rsidRPr="007C3223">
        <w:rPr>
          <w:rFonts w:eastAsia="Times New Roman" w:cs="Times New Roman"/>
          <w:szCs w:val="24"/>
        </w:rPr>
        <w:t xml:space="preserve">(1)  </w:t>
      </w:r>
      <w:r>
        <w:rPr>
          <w:rFonts w:eastAsia="Times New Roman" w:cs="Times New Roman"/>
          <w:szCs w:val="24"/>
        </w:rPr>
        <w:t>makes no changes to this subdivision</w:t>
      </w:r>
      <w:r w:rsidRPr="007C3223">
        <w:rPr>
          <w:rFonts w:eastAsia="Times New Roman" w:cs="Times New Roman"/>
          <w:szCs w:val="24"/>
        </w:rPr>
        <w:t>;</w:t>
      </w:r>
    </w:p>
    <w:p w:rsidR="003A77CD" w:rsidRPr="007C3223" w:rsidRDefault="003A77CD" w:rsidP="00710C98">
      <w:pPr>
        <w:spacing w:after="0" w:line="240" w:lineRule="auto"/>
        <w:ind w:left="1440"/>
        <w:jc w:val="both"/>
        <w:rPr>
          <w:rFonts w:eastAsia="Times New Roman" w:cs="Times New Roman"/>
          <w:szCs w:val="24"/>
        </w:rPr>
      </w:pPr>
    </w:p>
    <w:p w:rsidR="003A77CD" w:rsidRPr="007C3223" w:rsidRDefault="003A77CD" w:rsidP="00710C98">
      <w:pPr>
        <w:spacing w:after="0" w:line="240" w:lineRule="auto"/>
        <w:ind w:left="1440"/>
        <w:jc w:val="both"/>
        <w:rPr>
          <w:rFonts w:eastAsia="Times New Roman" w:cs="Times New Roman"/>
          <w:szCs w:val="24"/>
        </w:rPr>
      </w:pPr>
      <w:r w:rsidRPr="007C3223">
        <w:rPr>
          <w:rFonts w:eastAsia="Times New Roman" w:cs="Times New Roman"/>
          <w:szCs w:val="24"/>
        </w:rPr>
        <w:t xml:space="preserve">(2)  the date the party </w:t>
      </w:r>
      <w:r>
        <w:rPr>
          <w:rFonts w:eastAsia="Times New Roman" w:cs="Times New Roman"/>
          <w:szCs w:val="24"/>
        </w:rPr>
        <w:t xml:space="preserve">serving notice, rather than </w:t>
      </w:r>
      <w:r w:rsidRPr="007C3223">
        <w:rPr>
          <w:rFonts w:eastAsia="Times New Roman" w:cs="Times New Roman"/>
          <w:szCs w:val="24"/>
        </w:rPr>
        <w:t>offering the counteraffidavit</w:t>
      </w:r>
      <w:r>
        <w:rPr>
          <w:rFonts w:eastAsia="Times New Roman" w:cs="Times New Roman"/>
          <w:szCs w:val="24"/>
        </w:rPr>
        <w:t>,</w:t>
      </w:r>
      <w:r w:rsidRPr="007C3223">
        <w:rPr>
          <w:rFonts w:eastAsia="Times New Roman" w:cs="Times New Roman"/>
          <w:szCs w:val="24"/>
        </w:rPr>
        <w:t xml:space="preserve"> </w:t>
      </w:r>
      <w:r>
        <w:rPr>
          <w:rFonts w:eastAsia="Times New Roman" w:cs="Times New Roman"/>
          <w:szCs w:val="24"/>
        </w:rPr>
        <w:t>is required to</w:t>
      </w:r>
      <w:r w:rsidRPr="007C3223">
        <w:rPr>
          <w:rFonts w:eastAsia="Times New Roman" w:cs="Times New Roman"/>
          <w:szCs w:val="24"/>
        </w:rPr>
        <w:t xml:space="preserve"> designate expert witnesses under a court order; or</w:t>
      </w:r>
    </w:p>
    <w:p w:rsidR="003A77CD" w:rsidRPr="007C3223" w:rsidRDefault="003A77CD" w:rsidP="00710C98">
      <w:pPr>
        <w:spacing w:after="0" w:line="240" w:lineRule="auto"/>
        <w:ind w:left="1440"/>
        <w:jc w:val="both"/>
        <w:rPr>
          <w:rFonts w:eastAsia="Times New Roman" w:cs="Times New Roman"/>
          <w:szCs w:val="24"/>
        </w:rPr>
      </w:pPr>
    </w:p>
    <w:p w:rsidR="003A77CD" w:rsidRDefault="003A77CD" w:rsidP="00710C98">
      <w:pPr>
        <w:spacing w:after="0" w:line="240" w:lineRule="auto"/>
        <w:ind w:left="1440"/>
        <w:jc w:val="both"/>
        <w:rPr>
          <w:rFonts w:eastAsia="Times New Roman" w:cs="Times New Roman"/>
          <w:szCs w:val="24"/>
        </w:rPr>
      </w:pPr>
      <w:r w:rsidRPr="007C3223">
        <w:rPr>
          <w:rFonts w:eastAsia="Times New Roman" w:cs="Times New Roman"/>
          <w:szCs w:val="24"/>
        </w:rPr>
        <w:t xml:space="preserve">(3)  </w:t>
      </w:r>
      <w:r>
        <w:rPr>
          <w:rFonts w:eastAsia="Times New Roman" w:cs="Times New Roman"/>
          <w:szCs w:val="24"/>
        </w:rPr>
        <w:t>makes a conforming change to this subdivision.</w:t>
      </w:r>
    </w:p>
    <w:p w:rsidR="003A77CD" w:rsidRDefault="003A77CD" w:rsidP="00710C98">
      <w:pPr>
        <w:spacing w:after="0" w:line="240" w:lineRule="auto"/>
        <w:jc w:val="both"/>
        <w:rPr>
          <w:rFonts w:eastAsia="Times New Roman" w:cs="Times New Roman"/>
          <w:szCs w:val="24"/>
        </w:rPr>
      </w:pPr>
    </w:p>
    <w:p w:rsidR="003A77CD" w:rsidRPr="007C3223" w:rsidRDefault="003A77CD" w:rsidP="00710C98">
      <w:pPr>
        <w:spacing w:after="0" w:line="240" w:lineRule="auto"/>
        <w:ind w:left="720"/>
        <w:jc w:val="both"/>
        <w:rPr>
          <w:rFonts w:eastAsia="Times New Roman" w:cs="Times New Roman"/>
          <w:szCs w:val="24"/>
        </w:rPr>
      </w:pPr>
      <w:r>
        <w:rPr>
          <w:rFonts w:eastAsia="Times New Roman" w:cs="Times New Roman"/>
          <w:szCs w:val="24"/>
        </w:rPr>
        <w:t>(e-1) Requires that notice of intent to controvert the reasonableness of the amounts charged or necessity for medical services,</w:t>
      </w:r>
      <w:r w:rsidRPr="007C3223">
        <w:rPr>
          <w:rFonts w:eastAsia="Times New Roman" w:cs="Times New Roman"/>
          <w:szCs w:val="24"/>
        </w:rPr>
        <w:t xml:space="preserve"> </w:t>
      </w:r>
      <w:r>
        <w:rPr>
          <w:rFonts w:eastAsia="Times New Roman" w:cs="Times New Roman"/>
          <w:szCs w:val="24"/>
        </w:rPr>
        <w:t>n</w:t>
      </w:r>
      <w:r w:rsidRPr="007C3223">
        <w:rPr>
          <w:rFonts w:eastAsia="Times New Roman" w:cs="Times New Roman"/>
          <w:szCs w:val="24"/>
        </w:rPr>
        <w:t>otwithstanding Subsection (e), if the party offering the affidavit serves a copy of the affidavit under Subsection (d-1)</w:t>
      </w:r>
      <w:r>
        <w:rPr>
          <w:rFonts w:eastAsia="Times New Roman" w:cs="Times New Roman"/>
          <w:szCs w:val="24"/>
        </w:rPr>
        <w:t xml:space="preserve"> (relating to the requirement that certain actors s</w:t>
      </w:r>
      <w:r w:rsidRPr="00037841">
        <w:rPr>
          <w:rFonts w:eastAsia="Times New Roman" w:cs="Times New Roman"/>
          <w:szCs w:val="24"/>
        </w:rPr>
        <w:t>erve a copy of the affidavit for services provided by that provider on each other party to the case by</w:t>
      </w:r>
      <w:r>
        <w:rPr>
          <w:rFonts w:eastAsia="Times New Roman" w:cs="Times New Roman"/>
          <w:szCs w:val="24"/>
        </w:rPr>
        <w:t xml:space="preserve"> a certain date)</w:t>
      </w:r>
      <w:r w:rsidRPr="007C3223">
        <w:rPr>
          <w:rFonts w:eastAsia="Times New Roman" w:cs="Times New Roman"/>
          <w:szCs w:val="24"/>
        </w:rPr>
        <w:t>,</w:t>
      </w:r>
      <w:r>
        <w:rPr>
          <w:rFonts w:eastAsia="Times New Roman" w:cs="Times New Roman"/>
          <w:szCs w:val="24"/>
        </w:rPr>
        <w:t xml:space="preserve"> be served</w:t>
      </w:r>
      <w:r w:rsidRPr="007C3223">
        <w:rPr>
          <w:rFonts w:eastAsia="Times New Roman" w:cs="Times New Roman"/>
          <w:szCs w:val="24"/>
        </w:rPr>
        <w:t xml:space="preserve"> on each other party to the case by the later of</w:t>
      </w:r>
      <w:r>
        <w:rPr>
          <w:rFonts w:eastAsia="Times New Roman" w:cs="Times New Roman"/>
          <w:szCs w:val="24"/>
        </w:rPr>
        <w:t xml:space="preserve"> certain dates. Deletes existing text specifying the affidavit be in evidence and deletes existing text requiring </w:t>
      </w:r>
      <w:r w:rsidRPr="00037841">
        <w:rPr>
          <w:rFonts w:eastAsia="Times New Roman" w:cs="Times New Roman"/>
          <w:szCs w:val="24"/>
        </w:rPr>
        <w:t xml:space="preserve">the party offering the counteraffidavit in evidence or the party's attorney </w:t>
      </w:r>
      <w:r>
        <w:rPr>
          <w:rFonts w:eastAsia="Times New Roman" w:cs="Times New Roman"/>
          <w:szCs w:val="24"/>
        </w:rPr>
        <w:t>to</w:t>
      </w:r>
      <w:r w:rsidRPr="00037841">
        <w:rPr>
          <w:rFonts w:eastAsia="Times New Roman" w:cs="Times New Roman"/>
          <w:szCs w:val="24"/>
        </w:rPr>
        <w:t xml:space="preserve"> serve a copy of the counteraffidavit</w:t>
      </w:r>
      <w:r>
        <w:rPr>
          <w:rFonts w:eastAsia="Times New Roman" w:cs="Times New Roman"/>
          <w:szCs w:val="24"/>
        </w:rPr>
        <w:t>.</w:t>
      </w:r>
    </w:p>
    <w:p w:rsidR="003A77CD" w:rsidRDefault="003A77CD" w:rsidP="00710C98">
      <w:pPr>
        <w:spacing w:after="0" w:line="240" w:lineRule="auto"/>
        <w:ind w:left="720"/>
        <w:jc w:val="both"/>
        <w:rPr>
          <w:rFonts w:eastAsia="Times New Roman" w:cs="Times New Roman"/>
          <w:szCs w:val="24"/>
        </w:rPr>
      </w:pPr>
    </w:p>
    <w:p w:rsidR="003A77CD" w:rsidRPr="007C3223" w:rsidRDefault="003A77CD" w:rsidP="00710C98">
      <w:pPr>
        <w:spacing w:after="0" w:line="240" w:lineRule="auto"/>
        <w:ind w:left="720"/>
        <w:jc w:val="both"/>
        <w:rPr>
          <w:rFonts w:eastAsia="Times New Roman" w:cs="Times New Roman"/>
          <w:szCs w:val="24"/>
        </w:rPr>
      </w:pPr>
      <w:r w:rsidRPr="007C3223">
        <w:rPr>
          <w:rFonts w:eastAsia="Times New Roman" w:cs="Times New Roman"/>
          <w:szCs w:val="24"/>
        </w:rPr>
        <w:t xml:space="preserve">(h)  </w:t>
      </w:r>
      <w:r>
        <w:rPr>
          <w:rFonts w:eastAsia="Times New Roman" w:cs="Times New Roman"/>
          <w:szCs w:val="24"/>
        </w:rPr>
        <w:t>Provides that if</w:t>
      </w:r>
      <w:r w:rsidRPr="007C3223">
        <w:rPr>
          <w:rFonts w:eastAsia="Times New Roman" w:cs="Times New Roman"/>
          <w:szCs w:val="24"/>
        </w:rPr>
        <w:t xml:space="preserve"> continuing services are provided after a relevant deadline under </w:t>
      </w:r>
      <w:r>
        <w:rPr>
          <w:rFonts w:eastAsia="Times New Roman" w:cs="Times New Roman"/>
          <w:szCs w:val="24"/>
        </w:rPr>
        <w:t>S</w:t>
      </w:r>
      <w:r w:rsidRPr="007C3223">
        <w:rPr>
          <w:rFonts w:eastAsia="Times New Roman" w:cs="Times New Roman"/>
          <w:szCs w:val="24"/>
        </w:rPr>
        <w:t>ection</w:t>
      </w:r>
      <w:r>
        <w:rPr>
          <w:rFonts w:eastAsia="Times New Roman" w:cs="Times New Roman"/>
          <w:szCs w:val="24"/>
        </w:rPr>
        <w:t xml:space="preserve"> 18.001</w:t>
      </w:r>
      <w:r w:rsidRPr="007C3223">
        <w:rPr>
          <w:rFonts w:eastAsia="Times New Roman" w:cs="Times New Roman"/>
          <w:szCs w:val="24"/>
        </w:rPr>
        <w:t>:</w:t>
      </w:r>
    </w:p>
    <w:p w:rsidR="003A77CD" w:rsidRPr="007C3223" w:rsidRDefault="003A77CD" w:rsidP="00710C98">
      <w:pPr>
        <w:spacing w:after="0" w:line="240" w:lineRule="auto"/>
        <w:ind w:left="720"/>
        <w:jc w:val="both"/>
        <w:rPr>
          <w:rFonts w:eastAsia="Times New Roman" w:cs="Times New Roman"/>
          <w:szCs w:val="24"/>
        </w:rPr>
      </w:pPr>
    </w:p>
    <w:p w:rsidR="003A77CD" w:rsidRPr="007C3223" w:rsidRDefault="003A77CD" w:rsidP="00710C98">
      <w:pPr>
        <w:spacing w:after="0" w:line="240" w:lineRule="auto"/>
        <w:ind w:left="1440"/>
        <w:jc w:val="both"/>
        <w:rPr>
          <w:rFonts w:eastAsia="Times New Roman" w:cs="Times New Roman"/>
          <w:szCs w:val="24"/>
        </w:rPr>
      </w:pPr>
      <w:r w:rsidRPr="007C3223">
        <w:rPr>
          <w:rFonts w:eastAsia="Times New Roman" w:cs="Times New Roman"/>
          <w:szCs w:val="24"/>
        </w:rPr>
        <w:t xml:space="preserve">(1)  </w:t>
      </w:r>
      <w:r>
        <w:rPr>
          <w:rFonts w:eastAsia="Times New Roman" w:cs="Times New Roman"/>
          <w:szCs w:val="24"/>
        </w:rPr>
        <w:t>makes no changes to this subdivision</w:t>
      </w:r>
      <w:r w:rsidRPr="007C3223">
        <w:rPr>
          <w:rFonts w:eastAsia="Times New Roman" w:cs="Times New Roman"/>
          <w:szCs w:val="24"/>
        </w:rPr>
        <w:t>; and</w:t>
      </w:r>
    </w:p>
    <w:p w:rsidR="003A77CD" w:rsidRPr="007C3223" w:rsidRDefault="003A77CD" w:rsidP="00710C98">
      <w:pPr>
        <w:spacing w:after="0" w:line="240" w:lineRule="auto"/>
        <w:ind w:left="1440"/>
        <w:jc w:val="both"/>
        <w:rPr>
          <w:rFonts w:eastAsia="Times New Roman" w:cs="Times New Roman"/>
          <w:szCs w:val="24"/>
        </w:rPr>
      </w:pPr>
    </w:p>
    <w:p w:rsidR="003A77CD" w:rsidRPr="007C3223" w:rsidRDefault="003A77CD" w:rsidP="00710C98">
      <w:pPr>
        <w:spacing w:after="0" w:line="240" w:lineRule="auto"/>
        <w:ind w:left="1440"/>
        <w:jc w:val="both"/>
        <w:rPr>
          <w:rFonts w:eastAsia="Times New Roman" w:cs="Times New Roman"/>
          <w:szCs w:val="24"/>
        </w:rPr>
      </w:pPr>
      <w:r>
        <w:rPr>
          <w:rFonts w:eastAsia="Times New Roman" w:cs="Times New Roman"/>
          <w:szCs w:val="24"/>
        </w:rPr>
        <w:t xml:space="preserve">(2) </w:t>
      </w:r>
      <w:r w:rsidRPr="007C3223">
        <w:rPr>
          <w:rFonts w:eastAsia="Times New Roman" w:cs="Times New Roman"/>
          <w:szCs w:val="24"/>
        </w:rPr>
        <w:t xml:space="preserve">a party that served </w:t>
      </w:r>
      <w:r>
        <w:rPr>
          <w:rFonts w:eastAsia="Times New Roman" w:cs="Times New Roman"/>
          <w:szCs w:val="24"/>
        </w:rPr>
        <w:t xml:space="preserve">notice under Subsection (e) or (e-1) is authorized to serve notice related to the supplemental affidavit, rather than a party that served </w:t>
      </w:r>
      <w:r w:rsidRPr="007C3223">
        <w:rPr>
          <w:rFonts w:eastAsia="Times New Roman" w:cs="Times New Roman"/>
          <w:szCs w:val="24"/>
        </w:rPr>
        <w:t xml:space="preserve">a counteraffidavit under Subsection (e) or (e-1) </w:t>
      </w:r>
      <w:r>
        <w:rPr>
          <w:rFonts w:eastAsia="Times New Roman" w:cs="Times New Roman"/>
          <w:szCs w:val="24"/>
        </w:rPr>
        <w:t>is authorized to</w:t>
      </w:r>
      <w:r w:rsidRPr="007C3223">
        <w:rPr>
          <w:rFonts w:eastAsia="Times New Roman" w:cs="Times New Roman"/>
          <w:szCs w:val="24"/>
        </w:rPr>
        <w:t xml:space="preserve"> supplement the counteraffidavit</w:t>
      </w:r>
      <w:r>
        <w:rPr>
          <w:rFonts w:eastAsia="Times New Roman" w:cs="Times New Roman"/>
          <w:szCs w:val="24"/>
        </w:rPr>
        <w:t>,</w:t>
      </w:r>
      <w:r w:rsidRPr="007C3223">
        <w:rPr>
          <w:rFonts w:eastAsia="Times New Roman" w:cs="Times New Roman"/>
          <w:szCs w:val="24"/>
        </w:rPr>
        <w:t xml:space="preserve"> on or before the 30th day before the date the trial commences.</w:t>
      </w:r>
    </w:p>
    <w:p w:rsidR="003A77CD" w:rsidRPr="007C3223" w:rsidRDefault="003A77CD" w:rsidP="00710C98">
      <w:pPr>
        <w:spacing w:after="0" w:line="240" w:lineRule="auto"/>
        <w:ind w:left="720"/>
        <w:jc w:val="both"/>
        <w:rPr>
          <w:rFonts w:eastAsia="Times New Roman" w:cs="Times New Roman"/>
          <w:szCs w:val="24"/>
        </w:rPr>
      </w:pPr>
    </w:p>
    <w:p w:rsidR="003A77CD" w:rsidRPr="005C2A78" w:rsidRDefault="003A77CD" w:rsidP="00710C98">
      <w:pPr>
        <w:spacing w:after="0" w:line="240" w:lineRule="auto"/>
        <w:ind w:left="720"/>
        <w:jc w:val="both"/>
        <w:rPr>
          <w:rFonts w:eastAsia="Times New Roman" w:cs="Times New Roman"/>
          <w:szCs w:val="24"/>
        </w:rPr>
      </w:pPr>
      <w:r>
        <w:rPr>
          <w:rFonts w:eastAsia="Times New Roman" w:cs="Times New Roman"/>
          <w:szCs w:val="24"/>
        </w:rPr>
        <w:t xml:space="preserve">(i)  Authorizes </w:t>
      </w:r>
      <w:r w:rsidRPr="007C3223">
        <w:rPr>
          <w:rFonts w:eastAsia="Times New Roman" w:cs="Times New Roman"/>
          <w:szCs w:val="24"/>
        </w:rPr>
        <w:t xml:space="preserve">a deadline under </w:t>
      </w:r>
      <w:r>
        <w:rPr>
          <w:rFonts w:eastAsia="Times New Roman" w:cs="Times New Roman"/>
          <w:szCs w:val="24"/>
        </w:rPr>
        <w:t>S</w:t>
      </w:r>
      <w:r w:rsidRPr="007C3223">
        <w:rPr>
          <w:rFonts w:eastAsia="Times New Roman" w:cs="Times New Roman"/>
          <w:szCs w:val="24"/>
        </w:rPr>
        <w:t>ection</w:t>
      </w:r>
      <w:r>
        <w:rPr>
          <w:rFonts w:eastAsia="Times New Roman" w:cs="Times New Roman"/>
          <w:szCs w:val="24"/>
        </w:rPr>
        <w:t xml:space="preserve"> 18.001,</w:t>
      </w:r>
      <w:r w:rsidRPr="007C3223">
        <w:rPr>
          <w:rFonts w:eastAsia="Times New Roman" w:cs="Times New Roman"/>
          <w:szCs w:val="24"/>
        </w:rPr>
        <w:t xml:space="preserve"> </w:t>
      </w:r>
      <w:r>
        <w:rPr>
          <w:rFonts w:eastAsia="Times New Roman" w:cs="Times New Roman"/>
          <w:szCs w:val="24"/>
        </w:rPr>
        <w:t>n</w:t>
      </w:r>
      <w:r w:rsidRPr="007C3223">
        <w:rPr>
          <w:rFonts w:eastAsia="Times New Roman" w:cs="Times New Roman"/>
          <w:szCs w:val="24"/>
        </w:rPr>
        <w:t xml:space="preserve">otwithstanding Subsections (d), (d-1), (d-2), (e), (e-1), and (h), </w:t>
      </w:r>
      <w:r>
        <w:rPr>
          <w:rFonts w:eastAsia="Times New Roman" w:cs="Times New Roman"/>
          <w:szCs w:val="24"/>
        </w:rPr>
        <w:t xml:space="preserve">rather than notwithstanding </w:t>
      </w:r>
      <w:r w:rsidRPr="007C3223">
        <w:rPr>
          <w:rFonts w:eastAsia="Times New Roman" w:cs="Times New Roman"/>
          <w:szCs w:val="24"/>
        </w:rPr>
        <w:t>Subsections (d), (d-1), (d-2), (e), (e-1), (g)</w:t>
      </w:r>
      <w:r>
        <w:rPr>
          <w:rFonts w:eastAsia="Times New Roman" w:cs="Times New Roman"/>
          <w:szCs w:val="24"/>
        </w:rPr>
        <w:t xml:space="preserve"> (relating to the requirement that a certain actor </w:t>
      </w:r>
      <w:r w:rsidRPr="007C3223">
        <w:rPr>
          <w:rFonts w:eastAsia="Times New Roman" w:cs="Times New Roman"/>
          <w:szCs w:val="24"/>
        </w:rPr>
        <w:t xml:space="preserve">file written notice with the clerk of the court when serving the counteraffidavit that the </w:t>
      </w:r>
      <w:r>
        <w:rPr>
          <w:rFonts w:eastAsia="Times New Roman" w:cs="Times New Roman"/>
          <w:szCs w:val="24"/>
        </w:rPr>
        <w:t xml:space="preserve">actor </w:t>
      </w:r>
      <w:r w:rsidRPr="007C3223">
        <w:rPr>
          <w:rFonts w:eastAsia="Times New Roman" w:cs="Times New Roman"/>
          <w:szCs w:val="24"/>
        </w:rPr>
        <w:t>served a copy of the counteraffidavit</w:t>
      </w:r>
      <w:r>
        <w:rPr>
          <w:rFonts w:eastAsia="Times New Roman" w:cs="Times New Roman"/>
          <w:szCs w:val="24"/>
        </w:rPr>
        <w:t xml:space="preserve"> in accordance with Section 18.001), </w:t>
      </w:r>
      <w:r w:rsidRPr="007C3223">
        <w:rPr>
          <w:rFonts w:eastAsia="Times New Roman" w:cs="Times New Roman"/>
          <w:szCs w:val="24"/>
        </w:rPr>
        <w:t>and (h),</w:t>
      </w:r>
      <w:r>
        <w:rPr>
          <w:rFonts w:eastAsia="Times New Roman" w:cs="Times New Roman"/>
          <w:szCs w:val="24"/>
        </w:rPr>
        <w:t xml:space="preserve"> to</w:t>
      </w:r>
      <w:r w:rsidRPr="007C3223">
        <w:rPr>
          <w:rFonts w:eastAsia="Times New Roman" w:cs="Times New Roman"/>
          <w:szCs w:val="24"/>
        </w:rPr>
        <w:t xml:space="preserve"> be altered by all parties to an action by agreement or with leave of the court.</w:t>
      </w:r>
    </w:p>
    <w:p w:rsidR="003A77CD" w:rsidRPr="005C2A78"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Sections 18.001(f) (relating to certain requirements with which the counteraffidavit must comply) and (g), Civil Practice and Remedies Code.</w:t>
      </w:r>
    </w:p>
    <w:p w:rsidR="003A77CD"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3A77CD" w:rsidRDefault="003A77CD" w:rsidP="00710C98">
      <w:pPr>
        <w:spacing w:after="0" w:line="240" w:lineRule="auto"/>
        <w:jc w:val="both"/>
        <w:rPr>
          <w:rFonts w:eastAsia="Times New Roman" w:cs="Times New Roman"/>
          <w:szCs w:val="24"/>
        </w:rPr>
      </w:pPr>
    </w:p>
    <w:p w:rsidR="003A77CD" w:rsidRDefault="003A77CD" w:rsidP="00710C98">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p w:rsidR="003A77CD" w:rsidRDefault="003A77CD" w:rsidP="00774EC7">
      <w:pPr>
        <w:spacing w:after="0" w:line="240" w:lineRule="auto"/>
        <w:jc w:val="both"/>
        <w:rPr>
          <w:rFonts w:eastAsia="Times New Roman" w:cs="Times New Roman"/>
          <w:szCs w:val="24"/>
        </w:rPr>
      </w:pPr>
    </w:p>
    <w:p w:rsidR="003A77CD" w:rsidRPr="007C3223" w:rsidRDefault="003A77CD" w:rsidP="007C3223">
      <w:pPr>
        <w:spacing w:after="0" w:line="240" w:lineRule="auto"/>
        <w:jc w:val="both"/>
        <w:rPr>
          <w:rFonts w:eastAsia="Times New Roman" w:cs="Times New Roman"/>
          <w:szCs w:val="24"/>
        </w:rPr>
      </w:pPr>
    </w:p>
    <w:sectPr w:rsidR="003A77CD" w:rsidRPr="007C3223"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11" w:rsidRDefault="00155911" w:rsidP="000F1DF9">
      <w:pPr>
        <w:spacing w:after="0" w:line="240" w:lineRule="auto"/>
      </w:pPr>
      <w:r>
        <w:separator/>
      </w:r>
    </w:p>
  </w:endnote>
  <w:endnote w:type="continuationSeparator" w:id="0">
    <w:p w:rsidR="00155911" w:rsidRDefault="001559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559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77CD">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A77CD">
                <w:rPr>
                  <w:sz w:val="20"/>
                  <w:szCs w:val="20"/>
                </w:rPr>
                <w:t>C.S.S.B. 207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A77C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559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77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77C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11" w:rsidRDefault="00155911" w:rsidP="000F1DF9">
      <w:pPr>
        <w:spacing w:after="0" w:line="240" w:lineRule="auto"/>
      </w:pPr>
      <w:r>
        <w:separator/>
      </w:r>
    </w:p>
  </w:footnote>
  <w:footnote w:type="continuationSeparator" w:id="0">
    <w:p w:rsidR="00155911" w:rsidRDefault="0015591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55911"/>
    <w:rsid w:val="002355A9"/>
    <w:rsid w:val="00257C49"/>
    <w:rsid w:val="00305C27"/>
    <w:rsid w:val="00330BDA"/>
    <w:rsid w:val="0034346C"/>
    <w:rsid w:val="00376DD2"/>
    <w:rsid w:val="00382704"/>
    <w:rsid w:val="003A2368"/>
    <w:rsid w:val="003A77CD"/>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7683D"/>
  <w15:docId w15:val="{03BBBB3C-1BF6-473E-94F7-ECA36760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77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5185A94656461E97253D5B078D9096"/>
        <w:category>
          <w:name w:val="General"/>
          <w:gallery w:val="placeholder"/>
        </w:category>
        <w:types>
          <w:type w:val="bbPlcHdr"/>
        </w:types>
        <w:behaviors>
          <w:behavior w:val="content"/>
        </w:behaviors>
        <w:guid w:val="{C996D92C-2028-499F-A3FB-9512D6554DD9}"/>
      </w:docPartPr>
      <w:docPartBody>
        <w:p w:rsidR="00000000" w:rsidRDefault="00A669E8"/>
      </w:docPartBody>
    </w:docPart>
    <w:docPart>
      <w:docPartPr>
        <w:name w:val="BAD8167141EE456BA5B1E3A7C2DD7EE5"/>
        <w:category>
          <w:name w:val="General"/>
          <w:gallery w:val="placeholder"/>
        </w:category>
        <w:types>
          <w:type w:val="bbPlcHdr"/>
        </w:types>
        <w:behaviors>
          <w:behavior w:val="content"/>
        </w:behaviors>
        <w:guid w:val="{FDD699DE-CE57-4471-82CF-EB4574528B39}"/>
      </w:docPartPr>
      <w:docPartBody>
        <w:p w:rsidR="00000000" w:rsidRDefault="00A669E8"/>
      </w:docPartBody>
    </w:docPart>
    <w:docPart>
      <w:docPartPr>
        <w:name w:val="A13CCEF53AA44E08A89A38D77C50AEA4"/>
        <w:category>
          <w:name w:val="General"/>
          <w:gallery w:val="placeholder"/>
        </w:category>
        <w:types>
          <w:type w:val="bbPlcHdr"/>
        </w:types>
        <w:behaviors>
          <w:behavior w:val="content"/>
        </w:behaviors>
        <w:guid w:val="{F63B9035-AB50-4965-9BC3-519A1F857D06}"/>
      </w:docPartPr>
      <w:docPartBody>
        <w:p w:rsidR="00000000" w:rsidRDefault="00A669E8"/>
      </w:docPartBody>
    </w:docPart>
    <w:docPart>
      <w:docPartPr>
        <w:name w:val="8E4960867877419FA71D796B91A09B99"/>
        <w:category>
          <w:name w:val="General"/>
          <w:gallery w:val="placeholder"/>
        </w:category>
        <w:types>
          <w:type w:val="bbPlcHdr"/>
        </w:types>
        <w:behaviors>
          <w:behavior w:val="content"/>
        </w:behaviors>
        <w:guid w:val="{743DB650-6748-4476-9837-D19801AC55BC}"/>
      </w:docPartPr>
      <w:docPartBody>
        <w:p w:rsidR="00000000" w:rsidRDefault="00A669E8"/>
      </w:docPartBody>
    </w:docPart>
    <w:docPart>
      <w:docPartPr>
        <w:name w:val="5C95D2661F7F45D395E4D63516936F1C"/>
        <w:category>
          <w:name w:val="General"/>
          <w:gallery w:val="placeholder"/>
        </w:category>
        <w:types>
          <w:type w:val="bbPlcHdr"/>
        </w:types>
        <w:behaviors>
          <w:behavior w:val="content"/>
        </w:behaviors>
        <w:guid w:val="{102DBFDB-46F0-4337-B0EB-7252832DAC80}"/>
      </w:docPartPr>
      <w:docPartBody>
        <w:p w:rsidR="00000000" w:rsidRDefault="00A669E8"/>
      </w:docPartBody>
    </w:docPart>
    <w:docPart>
      <w:docPartPr>
        <w:name w:val="026A51DE2B2F4A5992770FE08C560816"/>
        <w:category>
          <w:name w:val="General"/>
          <w:gallery w:val="placeholder"/>
        </w:category>
        <w:types>
          <w:type w:val="bbPlcHdr"/>
        </w:types>
        <w:behaviors>
          <w:behavior w:val="content"/>
        </w:behaviors>
        <w:guid w:val="{6FB441CA-2384-49BA-A2F2-5D9B77AE77B6}"/>
      </w:docPartPr>
      <w:docPartBody>
        <w:p w:rsidR="00000000" w:rsidRDefault="00A669E8"/>
      </w:docPartBody>
    </w:docPart>
    <w:docPart>
      <w:docPartPr>
        <w:name w:val="9FCD004770BA49B08A8D06817EC37C3A"/>
        <w:category>
          <w:name w:val="General"/>
          <w:gallery w:val="placeholder"/>
        </w:category>
        <w:types>
          <w:type w:val="bbPlcHdr"/>
        </w:types>
        <w:behaviors>
          <w:behavior w:val="content"/>
        </w:behaviors>
        <w:guid w:val="{656E3342-94A4-4BC7-85A0-B04D7376B56B}"/>
      </w:docPartPr>
      <w:docPartBody>
        <w:p w:rsidR="00000000" w:rsidRDefault="00A669E8"/>
      </w:docPartBody>
    </w:docPart>
    <w:docPart>
      <w:docPartPr>
        <w:name w:val="03654EE2C14E4C6EA9E6303D24CCB4A9"/>
        <w:category>
          <w:name w:val="General"/>
          <w:gallery w:val="placeholder"/>
        </w:category>
        <w:types>
          <w:type w:val="bbPlcHdr"/>
        </w:types>
        <w:behaviors>
          <w:behavior w:val="content"/>
        </w:behaviors>
        <w:guid w:val="{5E4A7D67-4DEE-4C05-AFC7-474A52336C36}"/>
      </w:docPartPr>
      <w:docPartBody>
        <w:p w:rsidR="00000000" w:rsidRDefault="00A669E8"/>
      </w:docPartBody>
    </w:docPart>
    <w:docPart>
      <w:docPartPr>
        <w:name w:val="A6FC86FC3EEF4E9F920B4C2273D2AA2E"/>
        <w:category>
          <w:name w:val="General"/>
          <w:gallery w:val="placeholder"/>
        </w:category>
        <w:types>
          <w:type w:val="bbPlcHdr"/>
        </w:types>
        <w:behaviors>
          <w:behavior w:val="content"/>
        </w:behaviors>
        <w:guid w:val="{58EDEE64-D3CA-4ECB-80D2-7C7C6A085710}"/>
      </w:docPartPr>
      <w:docPartBody>
        <w:p w:rsidR="00000000" w:rsidRDefault="00A669E8"/>
      </w:docPartBody>
    </w:docPart>
    <w:docPart>
      <w:docPartPr>
        <w:name w:val="7626FFF89E91438CA060EB6284822FFF"/>
        <w:category>
          <w:name w:val="General"/>
          <w:gallery w:val="placeholder"/>
        </w:category>
        <w:types>
          <w:type w:val="bbPlcHdr"/>
        </w:types>
        <w:behaviors>
          <w:behavior w:val="content"/>
        </w:behaviors>
        <w:guid w:val="{4AE548EF-5A14-4083-B2CB-ADEDC303AB9E}"/>
      </w:docPartPr>
      <w:docPartBody>
        <w:p w:rsidR="00000000" w:rsidRDefault="0074374D" w:rsidP="0074374D">
          <w:pPr>
            <w:pStyle w:val="7626FFF89E91438CA060EB6284822FFF"/>
          </w:pPr>
          <w:r w:rsidRPr="00A30DD1">
            <w:rPr>
              <w:rStyle w:val="PlaceholderText"/>
            </w:rPr>
            <w:t>Click here to enter a date.</w:t>
          </w:r>
        </w:p>
      </w:docPartBody>
    </w:docPart>
    <w:docPart>
      <w:docPartPr>
        <w:name w:val="2DA995E5C55A40E0868151CC2D41E3EE"/>
        <w:category>
          <w:name w:val="General"/>
          <w:gallery w:val="placeholder"/>
        </w:category>
        <w:types>
          <w:type w:val="bbPlcHdr"/>
        </w:types>
        <w:behaviors>
          <w:behavior w:val="content"/>
        </w:behaviors>
        <w:guid w:val="{FE1A885F-749B-4F47-8F14-5FD1BCA2C3F9}"/>
      </w:docPartPr>
      <w:docPartBody>
        <w:p w:rsidR="00000000" w:rsidRDefault="00A669E8"/>
      </w:docPartBody>
    </w:docPart>
    <w:docPart>
      <w:docPartPr>
        <w:name w:val="08F7A2B1635E486C88CFD620E3625505"/>
        <w:category>
          <w:name w:val="General"/>
          <w:gallery w:val="placeholder"/>
        </w:category>
        <w:types>
          <w:type w:val="bbPlcHdr"/>
        </w:types>
        <w:behaviors>
          <w:behavior w:val="content"/>
        </w:behaviors>
        <w:guid w:val="{CD3A4F5E-A608-4210-A5C1-6164AC8C335A}"/>
      </w:docPartPr>
      <w:docPartBody>
        <w:p w:rsidR="00000000" w:rsidRDefault="00A669E8"/>
      </w:docPartBody>
    </w:docPart>
    <w:docPart>
      <w:docPartPr>
        <w:name w:val="F102F31965D248B29E761E615F5F804D"/>
        <w:category>
          <w:name w:val="General"/>
          <w:gallery w:val="placeholder"/>
        </w:category>
        <w:types>
          <w:type w:val="bbPlcHdr"/>
        </w:types>
        <w:behaviors>
          <w:behavior w:val="content"/>
        </w:behaviors>
        <w:guid w:val="{196A2085-958D-4001-830A-F3FC0ADCF03D}"/>
      </w:docPartPr>
      <w:docPartBody>
        <w:p w:rsidR="00000000" w:rsidRDefault="0074374D" w:rsidP="0074374D">
          <w:pPr>
            <w:pStyle w:val="F102F31965D248B29E761E615F5F804D"/>
          </w:pPr>
          <w:r>
            <w:rPr>
              <w:rFonts w:eastAsia="Times New Roman" w:cs="Times New Roman"/>
              <w:bCs/>
              <w:szCs w:val="24"/>
            </w:rPr>
            <w:t xml:space="preserve"> </w:t>
          </w:r>
        </w:p>
      </w:docPartBody>
    </w:docPart>
    <w:docPart>
      <w:docPartPr>
        <w:name w:val="36CF50569F3A4C768EEAEF832AA782DA"/>
        <w:category>
          <w:name w:val="General"/>
          <w:gallery w:val="placeholder"/>
        </w:category>
        <w:types>
          <w:type w:val="bbPlcHdr"/>
        </w:types>
        <w:behaviors>
          <w:behavior w:val="content"/>
        </w:behaviors>
        <w:guid w:val="{C0336EE1-E623-4377-A33B-5F7DFF6E8FCA}"/>
      </w:docPartPr>
      <w:docPartBody>
        <w:p w:rsidR="00000000" w:rsidRDefault="00A669E8"/>
      </w:docPartBody>
    </w:docPart>
    <w:docPart>
      <w:docPartPr>
        <w:name w:val="39AB09A8B98D4FE4B4ADFBFB58BA9582"/>
        <w:category>
          <w:name w:val="General"/>
          <w:gallery w:val="placeholder"/>
        </w:category>
        <w:types>
          <w:type w:val="bbPlcHdr"/>
        </w:types>
        <w:behaviors>
          <w:behavior w:val="content"/>
        </w:behaviors>
        <w:guid w:val="{3B1B3F88-F597-4678-83FE-5856733FC430}"/>
      </w:docPartPr>
      <w:docPartBody>
        <w:p w:rsidR="00000000" w:rsidRDefault="00A66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374D"/>
    <w:rsid w:val="008C55F7"/>
    <w:rsid w:val="0090598B"/>
    <w:rsid w:val="00984D6C"/>
    <w:rsid w:val="00A54AD6"/>
    <w:rsid w:val="00A57564"/>
    <w:rsid w:val="00A669E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7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626FFF89E91438CA060EB6284822FFF">
    <w:name w:val="7626FFF89E91438CA060EB6284822FFF"/>
    <w:rsid w:val="0074374D"/>
    <w:pPr>
      <w:spacing w:after="160" w:line="259" w:lineRule="auto"/>
    </w:pPr>
  </w:style>
  <w:style w:type="paragraph" w:customStyle="1" w:styleId="F102F31965D248B29E761E615F5F804D">
    <w:name w:val="F102F31965D248B29E761E615F5F804D"/>
    <w:rsid w:val="007437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ECCB49-CD8F-4BA4-8C73-1889AB7E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1165</Words>
  <Characters>6643</Characters>
  <Application>Microsoft Office Word</Application>
  <DocSecurity>0</DocSecurity>
  <Lines>55</Lines>
  <Paragraphs>15</Paragraphs>
  <ScaleCrop>false</ScaleCrop>
  <Company>Texas Legislative Council</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2021-04-07T00:44:00Z</dcterms:modified>
</cp:coreProperties>
</file>

<file path=docProps/custom.xml><?xml version="1.0" encoding="utf-8"?>
<op:Properties xmlns:vt="http://schemas.openxmlformats.org/officeDocument/2006/docPropsVTypes" xmlns:op="http://schemas.openxmlformats.org/officeDocument/2006/custom-properties"/>
</file>