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91ECC" w14:paraId="6F0AC020" w14:textId="77777777" w:rsidTr="00345119">
        <w:tc>
          <w:tcPr>
            <w:tcW w:w="9576" w:type="dxa"/>
            <w:noWrap/>
          </w:tcPr>
          <w:p w14:paraId="1E103695" w14:textId="77777777" w:rsidR="008423E4" w:rsidRPr="0022177D" w:rsidRDefault="00653DCD" w:rsidP="00B855B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A798F34" w14:textId="77777777" w:rsidR="008423E4" w:rsidRPr="0022177D" w:rsidRDefault="008423E4" w:rsidP="00B855BD">
      <w:pPr>
        <w:jc w:val="center"/>
      </w:pPr>
    </w:p>
    <w:p w14:paraId="74776FDD" w14:textId="77777777" w:rsidR="008423E4" w:rsidRPr="00B31F0E" w:rsidRDefault="008423E4" w:rsidP="00B855BD"/>
    <w:p w14:paraId="250B7769" w14:textId="77777777" w:rsidR="008423E4" w:rsidRPr="00742794" w:rsidRDefault="008423E4" w:rsidP="00B855B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1ECC" w14:paraId="039D5E20" w14:textId="77777777" w:rsidTr="00345119">
        <w:tc>
          <w:tcPr>
            <w:tcW w:w="9576" w:type="dxa"/>
          </w:tcPr>
          <w:p w14:paraId="43F0B004" w14:textId="3308BFBE" w:rsidR="008423E4" w:rsidRPr="00861995" w:rsidRDefault="00653DCD" w:rsidP="00B855BD">
            <w:pPr>
              <w:jc w:val="right"/>
            </w:pPr>
            <w:r>
              <w:t>S.B. 232</w:t>
            </w:r>
          </w:p>
        </w:tc>
      </w:tr>
      <w:tr w:rsidR="00591ECC" w14:paraId="31B0574E" w14:textId="77777777" w:rsidTr="00345119">
        <w:tc>
          <w:tcPr>
            <w:tcW w:w="9576" w:type="dxa"/>
          </w:tcPr>
          <w:p w14:paraId="4730AED7" w14:textId="54B752D1" w:rsidR="008423E4" w:rsidRPr="00861995" w:rsidRDefault="00653DCD" w:rsidP="00B855BD">
            <w:pPr>
              <w:jc w:val="right"/>
            </w:pPr>
            <w:r>
              <w:t xml:space="preserve">By: </w:t>
            </w:r>
            <w:r w:rsidR="00235C42">
              <w:t>Johnson</w:t>
            </w:r>
          </w:p>
        </w:tc>
      </w:tr>
      <w:tr w:rsidR="00591ECC" w14:paraId="344B7F78" w14:textId="77777777" w:rsidTr="00345119">
        <w:tc>
          <w:tcPr>
            <w:tcW w:w="9576" w:type="dxa"/>
          </w:tcPr>
          <w:p w14:paraId="55122613" w14:textId="5B4AAE59" w:rsidR="008423E4" w:rsidRPr="00861995" w:rsidRDefault="00653DCD" w:rsidP="00B855BD">
            <w:pPr>
              <w:jc w:val="right"/>
            </w:pPr>
            <w:r>
              <w:t>Judiciary &amp; Civil Jurisprudence</w:t>
            </w:r>
          </w:p>
        </w:tc>
      </w:tr>
      <w:tr w:rsidR="00591ECC" w14:paraId="143DDFEA" w14:textId="77777777" w:rsidTr="00345119">
        <w:tc>
          <w:tcPr>
            <w:tcW w:w="9576" w:type="dxa"/>
          </w:tcPr>
          <w:p w14:paraId="4F65ECE5" w14:textId="4E765933" w:rsidR="008423E4" w:rsidRDefault="00653DCD" w:rsidP="00B855BD">
            <w:pPr>
              <w:jc w:val="right"/>
            </w:pPr>
            <w:r>
              <w:t>Committee Report (Unamended)</w:t>
            </w:r>
          </w:p>
        </w:tc>
      </w:tr>
    </w:tbl>
    <w:p w14:paraId="24C3DBDE" w14:textId="77777777" w:rsidR="008423E4" w:rsidRDefault="008423E4" w:rsidP="00B855BD">
      <w:pPr>
        <w:tabs>
          <w:tab w:val="right" w:pos="9360"/>
        </w:tabs>
      </w:pPr>
    </w:p>
    <w:p w14:paraId="08D68E8C" w14:textId="77777777" w:rsidR="008423E4" w:rsidRDefault="008423E4" w:rsidP="00B855BD"/>
    <w:p w14:paraId="2A273B7F" w14:textId="77777777" w:rsidR="008423E4" w:rsidRDefault="008423E4" w:rsidP="00B855B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91ECC" w14:paraId="233689AA" w14:textId="77777777" w:rsidTr="00345119">
        <w:tc>
          <w:tcPr>
            <w:tcW w:w="9576" w:type="dxa"/>
          </w:tcPr>
          <w:p w14:paraId="3E22382D" w14:textId="77777777" w:rsidR="008423E4" w:rsidRPr="00A8133F" w:rsidRDefault="00653DCD" w:rsidP="00B855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D1E34D" w14:textId="77777777" w:rsidR="008423E4" w:rsidRDefault="008423E4" w:rsidP="00B855BD"/>
          <w:p w14:paraId="2C09C95B" w14:textId="0C19B8DA" w:rsidR="008423E4" w:rsidRDefault="00653DCD" w:rsidP="00B855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0C0C63">
              <w:t>, claimants filing a health care liability claim against a health</w:t>
            </w:r>
            <w:r w:rsidR="00275B41">
              <w:t xml:space="preserve"> </w:t>
            </w:r>
            <w:r w:rsidR="000C0C63">
              <w:t xml:space="preserve">care provider are required to serve a report from a qualified medical expert to the defendant or the </w:t>
            </w:r>
            <w:r w:rsidR="00EE4860">
              <w:t xml:space="preserve">defendant's </w:t>
            </w:r>
            <w:r w:rsidR="000C0C63">
              <w:t xml:space="preserve">attorney which explains how the provider contributed to the </w:t>
            </w:r>
            <w:r w:rsidR="00275B41">
              <w:t xml:space="preserve">plaintiff's </w:t>
            </w:r>
            <w:r w:rsidR="000C0C63">
              <w:t xml:space="preserve">injuries by failing to satisfy the standard of care applicable to that provider. </w:t>
            </w:r>
            <w:r>
              <w:t>This requirement</w:t>
            </w:r>
            <w:r w:rsidR="000C0C63">
              <w:t xml:space="preserve"> help</w:t>
            </w:r>
            <w:r>
              <w:t>s to</w:t>
            </w:r>
            <w:r w:rsidR="000C0C63">
              <w:t xml:space="preserve"> ensure that frivolous malpractice claims are dismissed early in the litigation process while meritorious claims</w:t>
            </w:r>
            <w:r w:rsidR="00CB422C">
              <w:t xml:space="preserve"> are preserved</w:t>
            </w:r>
            <w:r w:rsidR="000C0C63">
              <w:t xml:space="preserve">. </w:t>
            </w:r>
            <w:r w:rsidR="00184909">
              <w:t>C</w:t>
            </w:r>
            <w:r>
              <w:t>oncerns have been raised</w:t>
            </w:r>
            <w:r w:rsidR="00184909">
              <w:t>, however,</w:t>
            </w:r>
            <w:r>
              <w:t xml:space="preserve"> that state law governing these expert reports </w:t>
            </w:r>
            <w:r w:rsidR="000C0C63">
              <w:t>is imprecise and has been interpreted in different ways by different courts, often leaving claimants confused as to whether they are required to serve an exp</w:t>
            </w:r>
            <w:r w:rsidR="00584DA5">
              <w:t>e</w:t>
            </w:r>
            <w:r w:rsidR="000C0C63">
              <w:t xml:space="preserve">rt report. In cases like these, litigation costs </w:t>
            </w:r>
            <w:r w:rsidR="00D9420B">
              <w:t>increase</w:t>
            </w:r>
            <w:r w:rsidR="000C0C63">
              <w:t xml:space="preserve"> for both claimants and defendants</w:t>
            </w:r>
            <w:r w:rsidR="00D9420B">
              <w:t>, as</w:t>
            </w:r>
            <w:r w:rsidR="000C0C63">
              <w:t xml:space="preserve"> expert reports are prepared unnecessarily</w:t>
            </w:r>
            <w:r w:rsidR="00D9420B">
              <w:t>. S</w:t>
            </w:r>
            <w:r w:rsidR="000C0C63">
              <w:t>ometimes, potentially meritorious claims are</w:t>
            </w:r>
            <w:r w:rsidR="00D9420B">
              <w:t xml:space="preserve"> even</w:t>
            </w:r>
            <w:r w:rsidR="000C0C63">
              <w:t xml:space="preserve"> dismissed because claimants fail to serve an expert report not realizing that their claim is </w:t>
            </w:r>
            <w:r w:rsidR="00D9420B">
              <w:t>a health care liability claim</w:t>
            </w:r>
            <w:r w:rsidR="000C0C63">
              <w:t>.</w:t>
            </w:r>
            <w:r>
              <w:t xml:space="preserve"> </w:t>
            </w:r>
            <w:r w:rsidR="009E344D">
              <w:t xml:space="preserve">S.B. 232 </w:t>
            </w:r>
            <w:r w:rsidR="000C0C63">
              <w:t xml:space="preserve">seeks to </w:t>
            </w:r>
            <w:r>
              <w:t>remedy this situation by authoriz</w:t>
            </w:r>
            <w:r>
              <w:t>ing a</w:t>
            </w:r>
            <w:r w:rsidRPr="006212DC">
              <w:t xml:space="preserve"> court </w:t>
            </w:r>
            <w:r>
              <w:t>to</w:t>
            </w:r>
            <w:r w:rsidRPr="006212DC">
              <w:t xml:space="preserve"> issue a preliminary determination regarding whether a claim made by </w:t>
            </w:r>
            <w:r>
              <w:t>a</w:t>
            </w:r>
            <w:r w:rsidRPr="006212DC">
              <w:t xml:space="preserve"> claimant is a health care liability claim</w:t>
            </w:r>
            <w:r>
              <w:t xml:space="preserve"> for purposes of serving the expert report</w:t>
            </w:r>
            <w:r w:rsidR="000C0C63">
              <w:t>.</w:t>
            </w:r>
          </w:p>
          <w:p w14:paraId="0E7E6D5F" w14:textId="77777777" w:rsidR="008423E4" w:rsidRPr="00E26B13" w:rsidRDefault="008423E4" w:rsidP="00B855BD">
            <w:pPr>
              <w:rPr>
                <w:b/>
              </w:rPr>
            </w:pPr>
          </w:p>
        </w:tc>
      </w:tr>
      <w:tr w:rsidR="00591ECC" w14:paraId="448DC12B" w14:textId="77777777" w:rsidTr="00345119">
        <w:tc>
          <w:tcPr>
            <w:tcW w:w="9576" w:type="dxa"/>
          </w:tcPr>
          <w:p w14:paraId="7E4C026A" w14:textId="77777777" w:rsidR="0017725B" w:rsidRDefault="00653DCD" w:rsidP="00B855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5059D89" w14:textId="77777777" w:rsidR="0017725B" w:rsidRDefault="0017725B" w:rsidP="00B855BD">
            <w:pPr>
              <w:rPr>
                <w:b/>
                <w:u w:val="single"/>
              </w:rPr>
            </w:pPr>
          </w:p>
          <w:p w14:paraId="2191DDC0" w14:textId="5B07AACA" w:rsidR="00AE5597" w:rsidRPr="00AE5597" w:rsidRDefault="00653DCD" w:rsidP="00B855BD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62C5424F" w14:textId="77777777" w:rsidR="0017725B" w:rsidRPr="0017725B" w:rsidRDefault="0017725B" w:rsidP="00B855BD">
            <w:pPr>
              <w:rPr>
                <w:b/>
                <w:u w:val="single"/>
              </w:rPr>
            </w:pPr>
          </w:p>
        </w:tc>
      </w:tr>
      <w:tr w:rsidR="00591ECC" w14:paraId="3A2F1C82" w14:textId="77777777" w:rsidTr="00345119">
        <w:tc>
          <w:tcPr>
            <w:tcW w:w="9576" w:type="dxa"/>
          </w:tcPr>
          <w:p w14:paraId="0D385AC0" w14:textId="77777777" w:rsidR="008423E4" w:rsidRPr="00A8133F" w:rsidRDefault="00653DCD" w:rsidP="00B855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5FE4035" w14:textId="77777777" w:rsidR="008423E4" w:rsidRDefault="008423E4" w:rsidP="00B855BD"/>
          <w:p w14:paraId="0BA4A78B" w14:textId="2D2DD2A2" w:rsidR="00AE5597" w:rsidRDefault="00653DCD" w:rsidP="00B855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6F9820CC" w14:textId="77777777" w:rsidR="008423E4" w:rsidRPr="00E21FDC" w:rsidRDefault="008423E4" w:rsidP="00B855BD">
            <w:pPr>
              <w:rPr>
                <w:b/>
              </w:rPr>
            </w:pPr>
          </w:p>
        </w:tc>
      </w:tr>
      <w:tr w:rsidR="00591ECC" w14:paraId="0F9FF766" w14:textId="77777777" w:rsidTr="00345119">
        <w:tc>
          <w:tcPr>
            <w:tcW w:w="9576" w:type="dxa"/>
          </w:tcPr>
          <w:p w14:paraId="1CADBF81" w14:textId="08990848" w:rsidR="008423E4" w:rsidRPr="009E344D" w:rsidRDefault="00653DCD" w:rsidP="00B855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0988C28" w14:textId="0A924E64" w:rsidR="00BF063A" w:rsidRDefault="00653DCD" w:rsidP="00B855BD">
            <w:pPr>
              <w:pStyle w:val="Header"/>
              <w:jc w:val="both"/>
            </w:pPr>
            <w:r>
              <w:t xml:space="preserve">S.B. 232 </w:t>
            </w:r>
            <w:r w:rsidR="00123E11">
              <w:t>amends the</w:t>
            </w:r>
            <w:r w:rsidR="00123E11" w:rsidRPr="00123E11">
              <w:t xml:space="preserve"> Civil Practice and Remedies Code</w:t>
            </w:r>
            <w:r w:rsidR="00123E11">
              <w:t xml:space="preserve"> to </w:t>
            </w:r>
            <w:r w:rsidR="005944FC">
              <w:t>authorize a court, o</w:t>
            </w:r>
            <w:r w:rsidR="005944FC" w:rsidRPr="005944FC">
              <w:t>n motion of a claimant filed not later than 30 days after the date each defendant's original answer is filed,</w:t>
            </w:r>
            <w:r w:rsidR="005944FC">
              <w:t xml:space="preserve"> to</w:t>
            </w:r>
            <w:r w:rsidR="005944FC" w:rsidRPr="005944FC">
              <w:t xml:space="preserve"> issue a preliminary determination regarding whether a claim made by the claimant is a health care liability claim</w:t>
            </w:r>
            <w:r w:rsidR="005944FC">
              <w:t xml:space="preserve"> that would require the claimant to </w:t>
            </w:r>
            <w:r w:rsidR="005944FC" w:rsidRPr="005944FC">
              <w:t>serve</w:t>
            </w:r>
            <w:r>
              <w:t xml:space="preserve"> on</w:t>
            </w:r>
            <w:r>
              <w:t xml:space="preserve"> </w:t>
            </w:r>
            <w:r w:rsidR="00334BC9">
              <w:t>the defendant or the defendant's attorney</w:t>
            </w:r>
            <w:r>
              <w:t xml:space="preserve"> one or more</w:t>
            </w:r>
            <w:r w:rsidR="005944FC" w:rsidRPr="005944FC">
              <w:t xml:space="preserve"> </w:t>
            </w:r>
            <w:r w:rsidR="00334BC9">
              <w:t xml:space="preserve">expert reports. </w:t>
            </w:r>
            <w:r w:rsidR="0088623D">
              <w:t>If the</w:t>
            </w:r>
            <w:r>
              <w:t xml:space="preserve"> court determines that the claim is </w:t>
            </w:r>
            <w:r w:rsidR="003E4292">
              <w:t xml:space="preserve">such </w:t>
            </w:r>
            <w:r>
              <w:t>a health care liability claim</w:t>
            </w:r>
            <w:r w:rsidR="0088623D">
              <w:t>,</w:t>
            </w:r>
            <w:r>
              <w:t xml:space="preserve"> the claimant</w:t>
            </w:r>
            <w:r w:rsidR="0088623D">
              <w:t xml:space="preserve"> must</w:t>
            </w:r>
            <w:r>
              <w:t xml:space="preserve"> serve the expert report as required not later than the later of</w:t>
            </w:r>
            <w:r w:rsidR="00F32100">
              <w:t xml:space="preserve"> the following dates</w:t>
            </w:r>
            <w:r>
              <w:t>:</w:t>
            </w:r>
          </w:p>
          <w:p w14:paraId="0745C1A3" w14:textId="77777777" w:rsidR="00BF063A" w:rsidRDefault="00653DCD" w:rsidP="00B855B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120 </w:t>
            </w:r>
            <w:r>
              <w:t>days after the date each defendant's original answer is filed;</w:t>
            </w:r>
          </w:p>
          <w:p w14:paraId="1A223B4C" w14:textId="3AA44E9F" w:rsidR="00BF063A" w:rsidRDefault="00653DCD" w:rsidP="00B855BD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60 days after the date the court issues </w:t>
            </w:r>
            <w:r w:rsidR="00F32100">
              <w:t xml:space="preserve">a </w:t>
            </w:r>
            <w:r>
              <w:t>preliminary determination</w:t>
            </w:r>
            <w:r w:rsidR="00F32100">
              <w:t xml:space="preserve"> under the bill's provisions</w:t>
            </w:r>
            <w:r>
              <w:t>; or</w:t>
            </w:r>
          </w:p>
          <w:p w14:paraId="2E49851D" w14:textId="77777777" w:rsidR="009C36CD" w:rsidRDefault="00653DCD" w:rsidP="00B855B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date agreed to in writing by the affected parties.</w:t>
            </w:r>
          </w:p>
          <w:p w14:paraId="55846D58" w14:textId="4D19824C" w:rsidR="00BF063A" w:rsidRPr="009C36CD" w:rsidRDefault="00653DCD" w:rsidP="00B855BD">
            <w:pPr>
              <w:pStyle w:val="Header"/>
              <w:jc w:val="both"/>
            </w:pPr>
            <w:r>
              <w:t>The bill requires the court</w:t>
            </w:r>
            <w:r w:rsidR="00184909">
              <w:t xml:space="preserve"> </w:t>
            </w:r>
            <w:r>
              <w:t xml:space="preserve">to </w:t>
            </w:r>
            <w:r w:rsidR="008B2605" w:rsidRPr="008B2605">
              <w:t>issue a preliminary determination that the claim is a health care liability claim</w:t>
            </w:r>
            <w:r w:rsidR="00444874">
              <w:t xml:space="preserve"> that requires an exp</w:t>
            </w:r>
            <w:r w:rsidR="00584DA5">
              <w:t>e</w:t>
            </w:r>
            <w:r w:rsidR="00444874">
              <w:t>rt report</w:t>
            </w:r>
            <w:r w:rsidR="00184909">
              <w:t>, i</w:t>
            </w:r>
            <w:r w:rsidR="00184909" w:rsidRPr="008B2605">
              <w:t xml:space="preserve">f </w:t>
            </w:r>
            <w:r w:rsidR="00184909">
              <w:t>the court does not issue the required</w:t>
            </w:r>
            <w:r w:rsidR="00184909" w:rsidRPr="008B2605">
              <w:t xml:space="preserve"> preliminary determination before the 91st day after the date that a claimant files </w:t>
            </w:r>
            <w:r w:rsidR="00184909">
              <w:t>the motion</w:t>
            </w:r>
            <w:r w:rsidR="008B2605" w:rsidRPr="008B2605">
              <w:t>.</w:t>
            </w:r>
            <w:r w:rsidR="008B2605">
              <w:t xml:space="preserve"> The bill subjects the preliminary determination to interlocutory appeal by e</w:t>
            </w:r>
            <w:r w:rsidR="00021C45">
              <w:t xml:space="preserve">ither the claimant or defendant. </w:t>
            </w:r>
            <w:r w:rsidR="003077B1">
              <w:t>The bill requires the claimant, i</w:t>
            </w:r>
            <w:r w:rsidR="00021C45">
              <w:t>f</w:t>
            </w:r>
            <w:r w:rsidR="00021C45" w:rsidRPr="00021C45">
              <w:t xml:space="preserve"> an appellate court reverses</w:t>
            </w:r>
            <w:r w:rsidR="003077B1">
              <w:t xml:space="preserve"> on interlocutory appeal</w:t>
            </w:r>
            <w:r w:rsidR="00021C45" w:rsidRPr="00021C45">
              <w:t xml:space="preserve"> a trial court's preliminary determination</w:t>
            </w:r>
            <w:r w:rsidR="00021C45">
              <w:t xml:space="preserve"> that a claim is not a health care liability claim, to</w:t>
            </w:r>
            <w:r w:rsidR="00021C45" w:rsidRPr="00021C45">
              <w:t xml:space="preserve"> serve an expert report </w:t>
            </w:r>
            <w:r w:rsidR="003077B1">
              <w:t>not later than 120 days after the date that the appellate court issues an opinion reversing the preliminary determination</w:t>
            </w:r>
            <w:r w:rsidR="00021C45">
              <w:t xml:space="preserve">. </w:t>
            </w:r>
            <w:r>
              <w:t xml:space="preserve">The </w:t>
            </w:r>
            <w:r w:rsidR="00334BC9">
              <w:t xml:space="preserve">court's </w:t>
            </w:r>
            <w:r>
              <w:t xml:space="preserve">preliminary determination applies only to the issue of whether a claimant is </w:t>
            </w:r>
            <w:r>
              <w:t>required to serve an expert report</w:t>
            </w:r>
            <w:r w:rsidR="00021C45">
              <w:t>.</w:t>
            </w:r>
          </w:p>
          <w:p w14:paraId="5463B191" w14:textId="77777777" w:rsidR="008423E4" w:rsidRPr="00835628" w:rsidRDefault="008423E4" w:rsidP="00B855BD">
            <w:pPr>
              <w:rPr>
                <w:b/>
              </w:rPr>
            </w:pPr>
          </w:p>
        </w:tc>
      </w:tr>
      <w:tr w:rsidR="00591ECC" w14:paraId="1E58FCE4" w14:textId="77777777" w:rsidTr="00345119">
        <w:tc>
          <w:tcPr>
            <w:tcW w:w="9576" w:type="dxa"/>
          </w:tcPr>
          <w:p w14:paraId="06E2B0DE" w14:textId="77777777" w:rsidR="008423E4" w:rsidRPr="00A8133F" w:rsidRDefault="00653DCD" w:rsidP="00B855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1A7D997" w14:textId="77777777" w:rsidR="008423E4" w:rsidRDefault="008423E4" w:rsidP="00B855BD"/>
          <w:p w14:paraId="5F533E62" w14:textId="12CD8662" w:rsidR="008423E4" w:rsidRPr="003624F2" w:rsidRDefault="00653DCD" w:rsidP="00B855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78D2F37" w14:textId="77777777" w:rsidR="008423E4" w:rsidRPr="00233FDB" w:rsidRDefault="008423E4" w:rsidP="00B855BD">
            <w:pPr>
              <w:rPr>
                <w:b/>
              </w:rPr>
            </w:pPr>
          </w:p>
        </w:tc>
      </w:tr>
      <w:tr w:rsidR="00591ECC" w14:paraId="74EBC7C2" w14:textId="77777777" w:rsidTr="00345119">
        <w:tc>
          <w:tcPr>
            <w:tcW w:w="9576" w:type="dxa"/>
          </w:tcPr>
          <w:p w14:paraId="489AC7B2" w14:textId="09C8EA32" w:rsidR="0088623D" w:rsidRPr="0088623D" w:rsidRDefault="0088623D" w:rsidP="00B855BD">
            <w:pPr>
              <w:jc w:val="both"/>
            </w:pPr>
          </w:p>
        </w:tc>
      </w:tr>
      <w:tr w:rsidR="00591ECC" w14:paraId="02795BFD" w14:textId="77777777" w:rsidTr="00345119">
        <w:tc>
          <w:tcPr>
            <w:tcW w:w="9576" w:type="dxa"/>
          </w:tcPr>
          <w:p w14:paraId="548EB9C3" w14:textId="77777777" w:rsidR="008201F0" w:rsidRPr="009C1E9A" w:rsidRDefault="008201F0" w:rsidP="00B855BD">
            <w:pPr>
              <w:rPr>
                <w:b/>
                <w:u w:val="single"/>
              </w:rPr>
            </w:pPr>
          </w:p>
        </w:tc>
      </w:tr>
      <w:tr w:rsidR="00591ECC" w14:paraId="08A4A643" w14:textId="77777777" w:rsidTr="00345119">
        <w:tc>
          <w:tcPr>
            <w:tcW w:w="9576" w:type="dxa"/>
          </w:tcPr>
          <w:p w14:paraId="7415EFFD" w14:textId="77777777" w:rsidR="008201F0" w:rsidRPr="008201F0" w:rsidRDefault="008201F0" w:rsidP="00B855BD">
            <w:pPr>
              <w:jc w:val="both"/>
            </w:pPr>
          </w:p>
        </w:tc>
      </w:tr>
    </w:tbl>
    <w:p w14:paraId="56EA7B3D" w14:textId="77777777" w:rsidR="008423E4" w:rsidRPr="00BE0E75" w:rsidRDefault="008423E4" w:rsidP="00B855BD">
      <w:pPr>
        <w:jc w:val="both"/>
        <w:rPr>
          <w:rFonts w:ascii="Arial" w:hAnsi="Arial"/>
          <w:sz w:val="16"/>
          <w:szCs w:val="16"/>
        </w:rPr>
      </w:pPr>
    </w:p>
    <w:p w14:paraId="7C86A6C7" w14:textId="77777777" w:rsidR="004108C3" w:rsidRPr="008423E4" w:rsidRDefault="004108C3" w:rsidP="00B855BD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7ECAE" w14:textId="77777777" w:rsidR="00000000" w:rsidRDefault="00653DCD">
      <w:r>
        <w:separator/>
      </w:r>
    </w:p>
  </w:endnote>
  <w:endnote w:type="continuationSeparator" w:id="0">
    <w:p w14:paraId="01A6F8B6" w14:textId="77777777" w:rsidR="00000000" w:rsidRDefault="0065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CC16" w14:textId="77777777" w:rsidR="003F35A2" w:rsidRDefault="003F3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1ECC" w14:paraId="6CDCABD0" w14:textId="77777777" w:rsidTr="009C1E9A">
      <w:trPr>
        <w:cantSplit/>
      </w:trPr>
      <w:tc>
        <w:tcPr>
          <w:tcW w:w="0" w:type="pct"/>
        </w:tcPr>
        <w:p w14:paraId="0EAFD8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04A6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C8708A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364F4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2F42F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1ECC" w14:paraId="21CD8CC9" w14:textId="77777777" w:rsidTr="009C1E9A">
      <w:trPr>
        <w:cantSplit/>
      </w:trPr>
      <w:tc>
        <w:tcPr>
          <w:tcW w:w="0" w:type="pct"/>
        </w:tcPr>
        <w:p w14:paraId="68B840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9ADB26" w14:textId="488E130A" w:rsidR="00EC379B" w:rsidRPr="009C1E9A" w:rsidRDefault="00653D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23466</w:t>
          </w:r>
        </w:p>
      </w:tc>
      <w:tc>
        <w:tcPr>
          <w:tcW w:w="2453" w:type="pct"/>
        </w:tcPr>
        <w:p w14:paraId="72D64979" w14:textId="52C8A78B" w:rsidR="00EC379B" w:rsidRDefault="00653D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D4C89">
            <w:t>21.120.1192</w:t>
          </w:r>
          <w:r>
            <w:fldChar w:fldCharType="end"/>
          </w:r>
        </w:p>
      </w:tc>
    </w:tr>
    <w:tr w:rsidR="00591ECC" w14:paraId="3064AA44" w14:textId="77777777" w:rsidTr="009C1E9A">
      <w:trPr>
        <w:cantSplit/>
      </w:trPr>
      <w:tc>
        <w:tcPr>
          <w:tcW w:w="0" w:type="pct"/>
        </w:tcPr>
        <w:p w14:paraId="659ECF2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7E576D" w14:textId="1BFB0F4B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ECA9E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F3F747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1ECC" w14:paraId="1500314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E4B7CA" w14:textId="7F65F34B" w:rsidR="00EC379B" w:rsidRDefault="00653D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855B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16B85F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700A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801E" w14:textId="77777777" w:rsidR="003F35A2" w:rsidRDefault="003F3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DB21" w14:textId="77777777" w:rsidR="00000000" w:rsidRDefault="00653DCD">
      <w:r>
        <w:separator/>
      </w:r>
    </w:p>
  </w:footnote>
  <w:footnote w:type="continuationSeparator" w:id="0">
    <w:p w14:paraId="01311190" w14:textId="77777777" w:rsidR="00000000" w:rsidRDefault="0065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86BC" w14:textId="77777777" w:rsidR="003F35A2" w:rsidRDefault="003F3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D095" w14:textId="77777777" w:rsidR="003F35A2" w:rsidRDefault="003F3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73CD" w14:textId="77777777" w:rsidR="003F35A2" w:rsidRDefault="003F3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9B1"/>
    <w:multiLevelType w:val="hybridMultilevel"/>
    <w:tmpl w:val="6338BA9E"/>
    <w:lvl w:ilvl="0" w:tplc="61625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7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60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C0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2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07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68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0A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CB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27009"/>
    <w:multiLevelType w:val="hybridMultilevel"/>
    <w:tmpl w:val="D0C83FDC"/>
    <w:lvl w:ilvl="0" w:tplc="A3A2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02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80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61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A2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B21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07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07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EB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1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C45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F33"/>
    <w:rsid w:val="000C0C63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3E11"/>
    <w:rsid w:val="001245C8"/>
    <w:rsid w:val="00124653"/>
    <w:rsid w:val="001247C5"/>
    <w:rsid w:val="00127893"/>
    <w:rsid w:val="001312BB"/>
    <w:rsid w:val="00136555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F8A"/>
    <w:rsid w:val="0017725B"/>
    <w:rsid w:val="0018050C"/>
    <w:rsid w:val="0018117F"/>
    <w:rsid w:val="001824ED"/>
    <w:rsid w:val="00183262"/>
    <w:rsid w:val="00184909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C42"/>
    <w:rsid w:val="0024077A"/>
    <w:rsid w:val="00241EC1"/>
    <w:rsid w:val="002431DA"/>
    <w:rsid w:val="0024691D"/>
    <w:rsid w:val="00247D27"/>
    <w:rsid w:val="00250A50"/>
    <w:rsid w:val="00251ED5"/>
    <w:rsid w:val="002529E0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41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C89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7B1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BC9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9F5"/>
    <w:rsid w:val="003B1501"/>
    <w:rsid w:val="003B185E"/>
    <w:rsid w:val="003B198A"/>
    <w:rsid w:val="003B1CA3"/>
    <w:rsid w:val="003B1ED9"/>
    <w:rsid w:val="003B2891"/>
    <w:rsid w:val="003B33AA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9F5"/>
    <w:rsid w:val="003D0F48"/>
    <w:rsid w:val="003D726D"/>
    <w:rsid w:val="003E0875"/>
    <w:rsid w:val="003E0BB8"/>
    <w:rsid w:val="003E4292"/>
    <w:rsid w:val="003E6CB0"/>
    <w:rsid w:val="003F1F5E"/>
    <w:rsid w:val="003F286A"/>
    <w:rsid w:val="003F35A2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11D"/>
    <w:rsid w:val="00431750"/>
    <w:rsid w:val="0043190E"/>
    <w:rsid w:val="004324E9"/>
    <w:rsid w:val="004350F3"/>
    <w:rsid w:val="00436980"/>
    <w:rsid w:val="00437C0C"/>
    <w:rsid w:val="00441016"/>
    <w:rsid w:val="00441F2F"/>
    <w:rsid w:val="0044228B"/>
    <w:rsid w:val="00444874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531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DA5"/>
    <w:rsid w:val="005851E6"/>
    <w:rsid w:val="005878B7"/>
    <w:rsid w:val="00591ECC"/>
    <w:rsid w:val="00592C9A"/>
    <w:rsid w:val="00593DF8"/>
    <w:rsid w:val="005944FC"/>
    <w:rsid w:val="00595745"/>
    <w:rsid w:val="005A0E18"/>
    <w:rsid w:val="005A12A5"/>
    <w:rsid w:val="005A3790"/>
    <w:rsid w:val="005A3CCB"/>
    <w:rsid w:val="005A6D13"/>
    <w:rsid w:val="005B031F"/>
    <w:rsid w:val="005B2485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2DC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7B50"/>
    <w:rsid w:val="00650692"/>
    <w:rsid w:val="006508D3"/>
    <w:rsid w:val="00650AFA"/>
    <w:rsid w:val="00653DC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14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1F0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585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23D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605"/>
    <w:rsid w:val="008B2B1A"/>
    <w:rsid w:val="008B3428"/>
    <w:rsid w:val="008B6767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789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98A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44D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8CF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FA7"/>
    <w:rsid w:val="00AD7780"/>
    <w:rsid w:val="00AE2263"/>
    <w:rsid w:val="00AE248E"/>
    <w:rsid w:val="00AE2D12"/>
    <w:rsid w:val="00AE2F06"/>
    <w:rsid w:val="00AE4F1C"/>
    <w:rsid w:val="00AE5597"/>
    <w:rsid w:val="00AE5757"/>
    <w:rsid w:val="00AF1433"/>
    <w:rsid w:val="00AF48B4"/>
    <w:rsid w:val="00AF4923"/>
    <w:rsid w:val="00AF7C74"/>
    <w:rsid w:val="00AF7D65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55BD"/>
    <w:rsid w:val="00B90097"/>
    <w:rsid w:val="00B90999"/>
    <w:rsid w:val="00B91AD7"/>
    <w:rsid w:val="00B92D23"/>
    <w:rsid w:val="00B95BC8"/>
    <w:rsid w:val="00B96E87"/>
    <w:rsid w:val="00BA146A"/>
    <w:rsid w:val="00BA32EE"/>
    <w:rsid w:val="00BA4005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63A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64B7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22C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188"/>
    <w:rsid w:val="00D91B92"/>
    <w:rsid w:val="00D926B3"/>
    <w:rsid w:val="00D92F63"/>
    <w:rsid w:val="00D9420B"/>
    <w:rsid w:val="00D94237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2AB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860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10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4535E8-693B-4BF9-98DB-238E625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4B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4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4B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4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4BC9"/>
    <w:rPr>
      <w:b/>
      <w:bCs/>
    </w:rPr>
  </w:style>
  <w:style w:type="paragraph" w:styleId="ListParagraph">
    <w:name w:val="List Paragraph"/>
    <w:basedOn w:val="Normal"/>
    <w:uiPriority w:val="34"/>
    <w:qFormat/>
    <w:rsid w:val="00136555"/>
    <w:pPr>
      <w:ind w:left="720"/>
      <w:contextualSpacing/>
    </w:pPr>
  </w:style>
  <w:style w:type="paragraph" w:styleId="Revision">
    <w:name w:val="Revision"/>
    <w:hidden/>
    <w:uiPriority w:val="99"/>
    <w:semiHidden/>
    <w:rsid w:val="00584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3013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HB03984 (Committee Report (Substituted))</vt:lpstr>
    </vt:vector>
  </TitlesOfParts>
  <Company>State of Texas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23466</dc:subject>
  <dc:creator>State of Texas</dc:creator>
  <dc:description>SB 232 by Johnson-(H)Judiciary &amp; Civil Jurisprudence</dc:description>
  <cp:lastModifiedBy>Thomas Weis</cp:lastModifiedBy>
  <cp:revision>2</cp:revision>
  <cp:lastPrinted>2003-11-26T17:21:00Z</cp:lastPrinted>
  <dcterms:created xsi:type="dcterms:W3CDTF">2021-05-06T00:38:00Z</dcterms:created>
  <dcterms:modified xsi:type="dcterms:W3CDTF">2021-05-06T00:38:00Z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21.120.1192</vt:lpwstr>
  </property>
</Properties>
</file>