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E0564" w14:paraId="09E0003B" w14:textId="77777777" w:rsidTr="00345119">
        <w:tc>
          <w:tcPr>
            <w:tcW w:w="9576" w:type="dxa"/>
            <w:noWrap/>
          </w:tcPr>
          <w:p w14:paraId="1378519F" w14:textId="77777777" w:rsidR="008423E4" w:rsidRPr="0022177D" w:rsidRDefault="006F65A1" w:rsidP="00B27D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758523" w14:textId="77777777" w:rsidR="008423E4" w:rsidRPr="0022177D" w:rsidRDefault="008423E4" w:rsidP="00B27D5C">
      <w:pPr>
        <w:jc w:val="center"/>
      </w:pPr>
    </w:p>
    <w:p w14:paraId="44818846" w14:textId="77777777" w:rsidR="008423E4" w:rsidRPr="00B31F0E" w:rsidRDefault="008423E4" w:rsidP="00B27D5C"/>
    <w:p w14:paraId="3855C94F" w14:textId="77777777" w:rsidR="008423E4" w:rsidRPr="00742794" w:rsidRDefault="008423E4" w:rsidP="00B27D5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0564" w14:paraId="25B41867" w14:textId="77777777" w:rsidTr="00345119">
        <w:tc>
          <w:tcPr>
            <w:tcW w:w="9576" w:type="dxa"/>
          </w:tcPr>
          <w:p w14:paraId="4E18BA68" w14:textId="3DF48E81" w:rsidR="008423E4" w:rsidRPr="00861995" w:rsidRDefault="006F65A1" w:rsidP="00B27D5C">
            <w:pPr>
              <w:jc w:val="right"/>
            </w:pPr>
            <w:r>
              <w:t>C.S.S.B. 275</w:t>
            </w:r>
          </w:p>
        </w:tc>
      </w:tr>
      <w:tr w:rsidR="00BE0564" w14:paraId="199AF47A" w14:textId="77777777" w:rsidTr="00345119">
        <w:tc>
          <w:tcPr>
            <w:tcW w:w="9576" w:type="dxa"/>
          </w:tcPr>
          <w:p w14:paraId="0918DB1F" w14:textId="7A8FF7BD" w:rsidR="008423E4" w:rsidRPr="00861995" w:rsidRDefault="006F65A1" w:rsidP="00B27D5C">
            <w:pPr>
              <w:jc w:val="right"/>
            </w:pPr>
            <w:r>
              <w:t xml:space="preserve">By: </w:t>
            </w:r>
            <w:r w:rsidR="002F5E5D">
              <w:t>Hinojosa</w:t>
            </w:r>
          </w:p>
        </w:tc>
      </w:tr>
      <w:tr w:rsidR="00BE0564" w14:paraId="1F505AAF" w14:textId="77777777" w:rsidTr="00345119">
        <w:tc>
          <w:tcPr>
            <w:tcW w:w="9576" w:type="dxa"/>
          </w:tcPr>
          <w:p w14:paraId="68A1B958" w14:textId="23BB3EA2" w:rsidR="008423E4" w:rsidRPr="00861995" w:rsidRDefault="006F65A1" w:rsidP="00B27D5C">
            <w:pPr>
              <w:jc w:val="right"/>
            </w:pPr>
            <w:r>
              <w:t>Judiciary &amp; Civil Jurisprudence</w:t>
            </w:r>
          </w:p>
        </w:tc>
      </w:tr>
      <w:tr w:rsidR="00BE0564" w14:paraId="4FF78FBA" w14:textId="77777777" w:rsidTr="00345119">
        <w:tc>
          <w:tcPr>
            <w:tcW w:w="9576" w:type="dxa"/>
          </w:tcPr>
          <w:p w14:paraId="68B3ACC2" w14:textId="7E40095A" w:rsidR="008423E4" w:rsidRDefault="006F65A1" w:rsidP="00B27D5C">
            <w:pPr>
              <w:jc w:val="right"/>
            </w:pPr>
            <w:r>
              <w:t>Committee Report (Substituted)</w:t>
            </w:r>
          </w:p>
        </w:tc>
      </w:tr>
    </w:tbl>
    <w:p w14:paraId="6751B912" w14:textId="77777777" w:rsidR="008423E4" w:rsidRDefault="008423E4" w:rsidP="00B27D5C">
      <w:pPr>
        <w:tabs>
          <w:tab w:val="right" w:pos="9360"/>
        </w:tabs>
      </w:pPr>
    </w:p>
    <w:p w14:paraId="4535D3F6" w14:textId="77777777" w:rsidR="008423E4" w:rsidRDefault="008423E4" w:rsidP="00B27D5C"/>
    <w:p w14:paraId="3D1157D6" w14:textId="77777777" w:rsidR="008423E4" w:rsidRDefault="008423E4" w:rsidP="00B27D5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E0564" w14:paraId="1AB0E107" w14:textId="77777777" w:rsidTr="00345119">
        <w:tc>
          <w:tcPr>
            <w:tcW w:w="9576" w:type="dxa"/>
          </w:tcPr>
          <w:p w14:paraId="5D6393EB" w14:textId="77777777" w:rsidR="008423E4" w:rsidRPr="00A8133F" w:rsidRDefault="006F65A1" w:rsidP="00B27D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2E7CC8" w14:textId="77777777" w:rsidR="008423E4" w:rsidRDefault="008423E4" w:rsidP="00B27D5C"/>
          <w:p w14:paraId="2275D967" w14:textId="4F73088A" w:rsidR="008423E4" w:rsidRDefault="006F65A1" w:rsidP="00B27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78AB">
              <w:t xml:space="preserve">Current state law prohibits registration with the </w:t>
            </w:r>
            <w:r w:rsidR="00B071F1">
              <w:t>s</w:t>
            </w:r>
            <w:r w:rsidRPr="00D678AB">
              <w:t xml:space="preserve">ecretary of </w:t>
            </w:r>
            <w:r w:rsidR="00B071F1">
              <w:t>s</w:t>
            </w:r>
            <w:r w:rsidRPr="00D678AB">
              <w:t xml:space="preserve">tate of an entity whose name falsely implies governmental affiliation. However, </w:t>
            </w:r>
            <w:r w:rsidR="00FB7A0D">
              <w:t>there is no current</w:t>
            </w:r>
            <w:r w:rsidRPr="00D678AB">
              <w:t xml:space="preserve"> path </w:t>
            </w:r>
            <w:r w:rsidR="00FB7A0D">
              <w:t xml:space="preserve">in statute </w:t>
            </w:r>
            <w:r w:rsidRPr="00D678AB">
              <w:t xml:space="preserve">to reverse a registration for an entity that was mistakenly allowed to register </w:t>
            </w:r>
            <w:r w:rsidR="00C56BB8">
              <w:t>under a name implying</w:t>
            </w:r>
            <w:r w:rsidR="00C56BB8" w:rsidRPr="00D678AB">
              <w:t xml:space="preserve"> </w:t>
            </w:r>
            <w:r w:rsidRPr="00D678AB">
              <w:t xml:space="preserve">a governmental affiliation. </w:t>
            </w:r>
            <w:r w:rsidR="002E1FF8">
              <w:t>C.S.S.B. 275</w:t>
            </w:r>
            <w:r w:rsidRPr="00D678AB">
              <w:t xml:space="preserve"> </w:t>
            </w:r>
            <w:r w:rsidR="00B071F1">
              <w:t xml:space="preserve">seeks to </w:t>
            </w:r>
            <w:r w:rsidR="005D41E2">
              <w:t>address this issue</w:t>
            </w:r>
            <w:r w:rsidR="00B071F1">
              <w:t xml:space="preserve"> by </w:t>
            </w:r>
            <w:r w:rsidR="00B071F1" w:rsidRPr="00D678AB">
              <w:t>provid</w:t>
            </w:r>
            <w:r w:rsidR="00B071F1">
              <w:t>ing</w:t>
            </w:r>
            <w:r w:rsidR="00B071F1" w:rsidRPr="00D678AB">
              <w:t xml:space="preserve"> </w:t>
            </w:r>
            <w:r w:rsidRPr="00D678AB">
              <w:t xml:space="preserve">a remedy </w:t>
            </w:r>
            <w:r w:rsidR="00B071F1">
              <w:t>for</w:t>
            </w:r>
            <w:r w:rsidR="00B071F1" w:rsidRPr="00D678AB">
              <w:t xml:space="preserve"> </w:t>
            </w:r>
            <w:r w:rsidRPr="00D678AB">
              <w:t xml:space="preserve">governmental units </w:t>
            </w:r>
            <w:r w:rsidR="00B071F1">
              <w:t>to</w:t>
            </w:r>
            <w:r w:rsidR="00B071F1" w:rsidRPr="00D678AB">
              <w:t xml:space="preserve"> </w:t>
            </w:r>
            <w:r w:rsidR="00B071F1">
              <w:t>pursue</w:t>
            </w:r>
            <w:r w:rsidR="00B071F1" w:rsidRPr="00D678AB">
              <w:t xml:space="preserve"> </w:t>
            </w:r>
            <w:r w:rsidRPr="00D678AB">
              <w:t>if they believe an entity wilfully intended to imply governmental affiliation with that governmental unit.</w:t>
            </w:r>
          </w:p>
          <w:p w14:paraId="1E22089B" w14:textId="77777777" w:rsidR="008423E4" w:rsidRPr="00E26B13" w:rsidRDefault="008423E4" w:rsidP="00B27D5C">
            <w:pPr>
              <w:rPr>
                <w:b/>
              </w:rPr>
            </w:pPr>
          </w:p>
        </w:tc>
      </w:tr>
      <w:tr w:rsidR="00BE0564" w14:paraId="339AB00E" w14:textId="77777777" w:rsidTr="00345119">
        <w:tc>
          <w:tcPr>
            <w:tcW w:w="9576" w:type="dxa"/>
          </w:tcPr>
          <w:p w14:paraId="0EB57E4C" w14:textId="77777777" w:rsidR="0017725B" w:rsidRDefault="006F65A1" w:rsidP="00B27D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BAD84A" w14:textId="77777777" w:rsidR="0017725B" w:rsidRDefault="0017725B" w:rsidP="00B27D5C">
            <w:pPr>
              <w:rPr>
                <w:b/>
                <w:u w:val="single"/>
              </w:rPr>
            </w:pPr>
          </w:p>
          <w:p w14:paraId="12086EF2" w14:textId="77777777" w:rsidR="00C1274C" w:rsidRPr="00C1274C" w:rsidRDefault="006F65A1" w:rsidP="00B27D5C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94E825" w14:textId="77777777" w:rsidR="0017725B" w:rsidRPr="0017725B" w:rsidRDefault="0017725B" w:rsidP="00B27D5C">
            <w:pPr>
              <w:rPr>
                <w:b/>
                <w:u w:val="single"/>
              </w:rPr>
            </w:pPr>
          </w:p>
        </w:tc>
      </w:tr>
      <w:tr w:rsidR="00BE0564" w14:paraId="4086EC33" w14:textId="77777777" w:rsidTr="00345119">
        <w:tc>
          <w:tcPr>
            <w:tcW w:w="9576" w:type="dxa"/>
          </w:tcPr>
          <w:p w14:paraId="5060D00B" w14:textId="77777777" w:rsidR="008423E4" w:rsidRPr="00A8133F" w:rsidRDefault="006F65A1" w:rsidP="00B27D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2D1A105C" w14:textId="77777777" w:rsidR="008423E4" w:rsidRDefault="008423E4" w:rsidP="00B27D5C"/>
          <w:p w14:paraId="5BF27582" w14:textId="18FD9430" w:rsidR="00C1274C" w:rsidRDefault="006F65A1" w:rsidP="00B27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1160D6">
              <w:t>secretary of state</w:t>
            </w:r>
            <w:r>
              <w:t xml:space="preserve"> in SECTION 2 of this bill.</w:t>
            </w:r>
          </w:p>
          <w:p w14:paraId="7F92DF21" w14:textId="77777777" w:rsidR="008423E4" w:rsidRPr="00E21FDC" w:rsidRDefault="008423E4" w:rsidP="00B27D5C">
            <w:pPr>
              <w:rPr>
                <w:b/>
              </w:rPr>
            </w:pPr>
          </w:p>
        </w:tc>
      </w:tr>
      <w:tr w:rsidR="00BE0564" w14:paraId="655C69F6" w14:textId="77777777" w:rsidTr="00345119">
        <w:tc>
          <w:tcPr>
            <w:tcW w:w="9576" w:type="dxa"/>
          </w:tcPr>
          <w:p w14:paraId="13203A12" w14:textId="77777777" w:rsidR="008423E4" w:rsidRPr="00A8133F" w:rsidRDefault="006F65A1" w:rsidP="00B27D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607A56" w14:textId="77777777" w:rsidR="008423E4" w:rsidRDefault="008423E4" w:rsidP="00B27D5C"/>
          <w:p w14:paraId="048F6FB3" w14:textId="36DF4D9D" w:rsidR="008423E4" w:rsidRDefault="006F65A1" w:rsidP="00B27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275</w:t>
            </w:r>
            <w:r w:rsidR="002C0A8B">
              <w:t xml:space="preserve"> amends the </w:t>
            </w:r>
            <w:r w:rsidR="002C0A8B" w:rsidRPr="002C0A8B">
              <w:t>Civil Practice and Remedies Code</w:t>
            </w:r>
            <w:r w:rsidR="002C0A8B">
              <w:t xml:space="preserve"> to </w:t>
            </w:r>
            <w:r w:rsidR="005C36FE">
              <w:t>entitle a</w:t>
            </w:r>
            <w:r w:rsidR="005F015F">
              <w:t>n applicable</w:t>
            </w:r>
            <w:r w:rsidR="005C36FE">
              <w:t xml:space="preserve"> </w:t>
            </w:r>
            <w:r w:rsidR="005C36FE" w:rsidRPr="005C36FE">
              <w:t>governmental unit</w:t>
            </w:r>
            <w:r w:rsidR="005C36FE">
              <w:t xml:space="preserve"> to </w:t>
            </w:r>
            <w:r w:rsidR="005C36FE" w:rsidRPr="005C36FE">
              <w:t xml:space="preserve">enjoin another person's use of an entity name that </w:t>
            </w:r>
            <w:r>
              <w:t>falsely implies</w:t>
            </w:r>
            <w:r w:rsidR="005C36FE" w:rsidRPr="005C36FE">
              <w:t xml:space="preserve"> governmental affilia</w:t>
            </w:r>
            <w:r w:rsidR="005C36FE">
              <w:t>tion</w:t>
            </w:r>
            <w:r w:rsidR="00914339">
              <w:t xml:space="preserve"> with the governmental unit. The bill entitles the governmental </w:t>
            </w:r>
            <w:r w:rsidR="003F3209">
              <w:t xml:space="preserve">unit </w:t>
            </w:r>
            <w:r w:rsidR="005C36FE">
              <w:t xml:space="preserve">to </w:t>
            </w:r>
            <w:r w:rsidR="005C36FE" w:rsidRPr="005C36FE">
              <w:t xml:space="preserve">injunctive relief throughout </w:t>
            </w:r>
            <w:r w:rsidR="00B96F48">
              <w:t>Texas</w:t>
            </w:r>
            <w:r w:rsidR="005C36FE">
              <w:t xml:space="preserve"> in such an action. </w:t>
            </w:r>
            <w:r w:rsidR="00680E8E">
              <w:t>If a</w:t>
            </w:r>
            <w:r w:rsidR="00C1274C">
              <w:t xml:space="preserve"> court that </w:t>
            </w:r>
            <w:r w:rsidR="00C1274C" w:rsidRPr="00C1274C">
              <w:t>finds that the person against whom the relief is sought wilfully intended to imply governmental affiliation</w:t>
            </w:r>
            <w:r w:rsidR="00693DC0">
              <w:t>, the court, in the court's discretion, may</w:t>
            </w:r>
            <w:r w:rsidR="00C1274C">
              <w:t xml:space="preserve"> </w:t>
            </w:r>
            <w:r w:rsidRPr="002E1FF8">
              <w:t>award reasonable attorney's fees and court costs to the governmental unit</w:t>
            </w:r>
            <w:r>
              <w:t>.</w:t>
            </w:r>
          </w:p>
          <w:p w14:paraId="327DD863" w14:textId="121538B8" w:rsidR="002E1FF8" w:rsidRDefault="002E1FF8" w:rsidP="00B27D5C">
            <w:pPr>
              <w:rPr>
                <w:b/>
              </w:rPr>
            </w:pPr>
          </w:p>
          <w:p w14:paraId="58C4D934" w14:textId="4988A1E8" w:rsidR="00660144" w:rsidRDefault="006F65A1" w:rsidP="00B27D5C">
            <w:pPr>
              <w:jc w:val="both"/>
            </w:pPr>
            <w:r>
              <w:t xml:space="preserve">C.S.S.B. 275 amends the Business Organizations Code </w:t>
            </w:r>
            <w:r>
              <w:t xml:space="preserve">to prohibit a filing </w:t>
            </w:r>
            <w:r w:rsidRPr="002E1FF8">
              <w:t>entity or a foreign filing entity</w:t>
            </w:r>
            <w:r>
              <w:t xml:space="preserve"> from using a name in Texas that </w:t>
            </w:r>
            <w:r w:rsidRPr="002E1FF8">
              <w:t>falsely implies an affiliation with a governmental entity.</w:t>
            </w:r>
            <w:r>
              <w:t xml:space="preserve"> </w:t>
            </w:r>
            <w:r w:rsidR="00DD41F5">
              <w:t>The</w:t>
            </w:r>
            <w:r w:rsidR="001160D6">
              <w:t xml:space="preserve"> bill establishes that the</w:t>
            </w:r>
            <w:r w:rsidR="00DD41F5">
              <w:t xml:space="preserve"> addition of </w:t>
            </w:r>
            <w:r w:rsidR="00DD41F5" w:rsidRPr="00DD41F5">
              <w:t>a word, phrase, or abbreviation that is require</w:t>
            </w:r>
            <w:r w:rsidR="00DD41F5">
              <w:t xml:space="preserve">d to be included in the entity's name </w:t>
            </w:r>
            <w:r w:rsidR="00DD41F5" w:rsidRPr="00DD41F5">
              <w:t>is not a f</w:t>
            </w:r>
            <w:r w:rsidR="00DD41F5">
              <w:t>actor when determining whether the</w:t>
            </w:r>
            <w:r w:rsidR="00DD41F5" w:rsidRPr="00DD41F5">
              <w:t xml:space="preserve"> name violates</w:t>
            </w:r>
            <w:r w:rsidR="00DD41F5">
              <w:t xml:space="preserve"> the prohibition. The bill establishes that t</w:t>
            </w:r>
            <w:r w:rsidR="00BB57C3" w:rsidRPr="00BB57C3">
              <w:t>he submission of a filing instrument is an affirmation by the organizer or by a managerial official named in the filing instrument that the name provided as the name of the filing entity does not falsely imply</w:t>
            </w:r>
            <w:r w:rsidR="00DD41F5">
              <w:t xml:space="preserve"> that affiliation. </w:t>
            </w:r>
            <w:r>
              <w:t>An entity name means the following:</w:t>
            </w:r>
          </w:p>
          <w:p w14:paraId="3FDC7F47" w14:textId="421C49E9" w:rsidR="00660144" w:rsidRDefault="006F65A1" w:rsidP="00B27D5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 w:rsidRPr="00660144">
              <w:t>the name of a domestic filing entity, as evidenced by its certificate of formation, as amended or restated;</w:t>
            </w:r>
            <w:r w:rsidRPr="00660144">
              <w:t xml:space="preserve"> or</w:t>
            </w:r>
          </w:p>
          <w:p w14:paraId="524C5A6B" w14:textId="2D68C3F9" w:rsidR="00660144" w:rsidRDefault="006F65A1" w:rsidP="00B27D5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 w:rsidRPr="00660144">
              <w:t>in the case of a foreign filing entity, the name of the foreign filing entity or the fictitious name of a foreign filing entity, as evidenced by its application for registration or its most recent amended registration.</w:t>
            </w:r>
          </w:p>
          <w:p w14:paraId="0EBB2460" w14:textId="41983AA2" w:rsidR="002E1FF8" w:rsidRDefault="006F65A1" w:rsidP="00B27D5C">
            <w:pPr>
              <w:jc w:val="both"/>
              <w:rPr>
                <w:b/>
              </w:rPr>
            </w:pPr>
            <w:r>
              <w:t xml:space="preserve">The bill requires the </w:t>
            </w:r>
            <w:r w:rsidRPr="001160D6">
              <w:t>secretary o</w:t>
            </w:r>
            <w:r w:rsidRPr="001160D6">
              <w:t xml:space="preserve">f state </w:t>
            </w:r>
            <w:r>
              <w:t>to</w:t>
            </w:r>
            <w:r w:rsidRPr="001160D6">
              <w:t xml:space="preserve"> adopt rules and prescribe procedures to implement</w:t>
            </w:r>
            <w:r>
              <w:t xml:space="preserve"> these provisions.</w:t>
            </w:r>
          </w:p>
          <w:p w14:paraId="59B08EA0" w14:textId="5360CDC8" w:rsidR="002E1FF8" w:rsidRPr="00835628" w:rsidRDefault="002E1FF8" w:rsidP="00B27D5C">
            <w:pPr>
              <w:rPr>
                <w:b/>
              </w:rPr>
            </w:pPr>
          </w:p>
        </w:tc>
      </w:tr>
      <w:tr w:rsidR="00BE0564" w14:paraId="4E9D72BF" w14:textId="77777777" w:rsidTr="00345119">
        <w:tc>
          <w:tcPr>
            <w:tcW w:w="9576" w:type="dxa"/>
          </w:tcPr>
          <w:p w14:paraId="2559FA67" w14:textId="7E4B1975" w:rsidR="008423E4" w:rsidRPr="00A8133F" w:rsidRDefault="006F65A1" w:rsidP="00B27D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 w:rsidR="001160D6">
              <w:rPr>
                <w:b/>
                <w:u w:val="single"/>
              </w:rPr>
              <w:t xml:space="preserve"> </w:t>
            </w:r>
          </w:p>
          <w:p w14:paraId="07E81AD0" w14:textId="77777777" w:rsidR="008423E4" w:rsidRDefault="008423E4" w:rsidP="00B27D5C"/>
          <w:p w14:paraId="6E59456C" w14:textId="77777777" w:rsidR="008423E4" w:rsidRPr="003624F2" w:rsidRDefault="006F65A1" w:rsidP="00B27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C93259" w14:textId="77777777" w:rsidR="008423E4" w:rsidRPr="00233FDB" w:rsidRDefault="008423E4" w:rsidP="00B27D5C">
            <w:pPr>
              <w:rPr>
                <w:b/>
              </w:rPr>
            </w:pPr>
          </w:p>
        </w:tc>
      </w:tr>
      <w:tr w:rsidR="00BE0564" w14:paraId="25361EBC" w14:textId="77777777" w:rsidTr="00345119">
        <w:tc>
          <w:tcPr>
            <w:tcW w:w="9576" w:type="dxa"/>
          </w:tcPr>
          <w:p w14:paraId="57BD3AB8" w14:textId="77777777" w:rsidR="002F5E5D" w:rsidRDefault="006F65A1" w:rsidP="00B27D5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750435C" w14:textId="77777777" w:rsidR="001160D6" w:rsidRDefault="001160D6" w:rsidP="00B27D5C">
            <w:pPr>
              <w:jc w:val="both"/>
            </w:pPr>
          </w:p>
          <w:p w14:paraId="24E4A8D7" w14:textId="6DB612C1" w:rsidR="001160D6" w:rsidRDefault="006F65A1" w:rsidP="00B27D5C">
            <w:pPr>
              <w:jc w:val="both"/>
            </w:pPr>
            <w:r>
              <w:t>While C.S.S.B. 275 may differ from the engrossed in minor or nonsubstantive ways, the foll</w:t>
            </w:r>
            <w:r>
              <w:t>owing summarizes the substantial differences between the engrossed and committee substitute versions of the bill.</w:t>
            </w:r>
          </w:p>
          <w:p w14:paraId="7CFA6F32" w14:textId="4263FE10" w:rsidR="001160D6" w:rsidRDefault="001160D6" w:rsidP="00B27D5C">
            <w:pPr>
              <w:jc w:val="both"/>
            </w:pPr>
          </w:p>
          <w:p w14:paraId="412BEFC9" w14:textId="47A49E0B" w:rsidR="00D926C9" w:rsidRDefault="006F65A1" w:rsidP="00B27D5C">
            <w:pPr>
              <w:jc w:val="both"/>
            </w:pPr>
            <w:r>
              <w:t>The substitute does not include an authorization</w:t>
            </w:r>
            <w:r>
              <w:t xml:space="preserve"> present in the engrossed for a court, on the finding that a person against whom injunctive relief is sought wilfully intended to imply governmental affiliation with a governmental unit, to enter </w:t>
            </w:r>
            <w:r w:rsidRPr="00D926C9">
              <w:t>judgment in an amount not to exceed three times the amount o</w:t>
            </w:r>
            <w:r w:rsidRPr="00D926C9">
              <w:t>f the entity's profits and the governmental unit's damages</w:t>
            </w:r>
            <w:r>
              <w:t>. However, the substitute includes an authorization absent from the engrossed for the court, on such a finding, to award court costs to the governmental unit.</w:t>
            </w:r>
          </w:p>
          <w:p w14:paraId="7DDE4CA3" w14:textId="77777777" w:rsidR="00D926C9" w:rsidRDefault="00D926C9" w:rsidP="00B27D5C">
            <w:pPr>
              <w:jc w:val="both"/>
            </w:pPr>
          </w:p>
          <w:p w14:paraId="34F7B9F9" w14:textId="63E3A7B1" w:rsidR="0081742C" w:rsidRDefault="006F65A1" w:rsidP="00B27D5C">
            <w:pPr>
              <w:jc w:val="both"/>
            </w:pPr>
            <w:r>
              <w:t>While both the engrossed and substitut</w:t>
            </w:r>
            <w:r>
              <w:t xml:space="preserve">e </w:t>
            </w:r>
            <w:r w:rsidR="001160D6">
              <w:t xml:space="preserve">prohibit </w:t>
            </w:r>
            <w:r w:rsidR="001160D6" w:rsidRPr="001160D6">
              <w:t>a filing entity or a foreign filing entity from using a name in Texas that falsely implies an affiliation with a governmental entity</w:t>
            </w:r>
            <w:r>
              <w:t xml:space="preserve">, the substitute does not include the following provisions, which were present in </w:t>
            </w:r>
            <w:r w:rsidR="001160D6">
              <w:t>the engrossed</w:t>
            </w:r>
            <w:r>
              <w:t>:</w:t>
            </w:r>
            <w:r w:rsidR="001160D6">
              <w:t xml:space="preserve"> </w:t>
            </w:r>
          </w:p>
          <w:p w14:paraId="5A06A178" w14:textId="4C21AD68" w:rsidR="00AB6FBA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an </w:t>
            </w:r>
            <w:r>
              <w:t>authorization for</w:t>
            </w:r>
            <w:r w:rsidR="001160D6">
              <w:t xml:space="preserve"> the secretary of state, </w:t>
            </w:r>
            <w:r w:rsidR="001160D6" w:rsidRPr="001160D6">
              <w:t xml:space="preserve">in the secretary's sole discretion, </w:t>
            </w:r>
            <w:r w:rsidR="001160D6">
              <w:t xml:space="preserve">to </w:t>
            </w:r>
            <w:r w:rsidR="001160D6" w:rsidRPr="001160D6">
              <w:t xml:space="preserve">determine at any time that </w:t>
            </w:r>
            <w:r>
              <w:t xml:space="preserve">an entity's </w:t>
            </w:r>
            <w:r w:rsidR="001160D6">
              <w:t>name violates the prohibition</w:t>
            </w:r>
            <w:r>
              <w:t>;</w:t>
            </w:r>
          </w:p>
          <w:p w14:paraId="28758411" w14:textId="637029AE" w:rsidR="00AB6FBA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</w:t>
            </w:r>
            <w:r w:rsidR="00FF38AC">
              <w:t xml:space="preserve"> the secretary of state to notify the entity if the name is determined to be in violation;</w:t>
            </w:r>
          </w:p>
          <w:p w14:paraId="51B2FA85" w14:textId="60FBF38B" w:rsidR="000F7DA1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</w:t>
            </w:r>
            <w:r w:rsidR="0081742C" w:rsidRPr="0081742C">
              <w:t>require</w:t>
            </w:r>
            <w:r>
              <w:t>ment for</w:t>
            </w:r>
            <w:r w:rsidR="0081742C" w:rsidRPr="0081742C">
              <w:t xml:space="preserve"> an entity that receives such notice to cease transacting business or operating under that name in Texas and to amend the name</w:t>
            </w:r>
            <w:r w:rsidR="0081742C">
              <w:t>;</w:t>
            </w:r>
          </w:p>
          <w:p w14:paraId="04D85E6B" w14:textId="7629887D" w:rsidR="000F7DA1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provision </w:t>
            </w:r>
            <w:r w:rsidR="0081742C" w:rsidRPr="0081742C">
              <w:t>establish</w:t>
            </w:r>
            <w:r w:rsidR="00E2127E">
              <w:t>ing</w:t>
            </w:r>
            <w:r w:rsidR="0081742C" w:rsidRPr="0081742C">
              <w:t xml:space="preserve"> a maximum civil penalty of $1,000 for each violation of the requirements to cease transacting business or operating under </w:t>
            </w:r>
            <w:r>
              <w:t>the applicable</w:t>
            </w:r>
            <w:r w:rsidR="0081742C" w:rsidRPr="0081742C">
              <w:t xml:space="preserve"> name in Texas and to amend the name</w:t>
            </w:r>
            <w:r w:rsidR="0081742C">
              <w:t>;</w:t>
            </w:r>
            <w:r>
              <w:t xml:space="preserve"> and</w:t>
            </w:r>
          </w:p>
          <w:p w14:paraId="63B55EF0" w14:textId="2484B8EC" w:rsidR="000F7DA1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provision relating to</w:t>
            </w:r>
            <w:r w:rsidR="0081742C" w:rsidRPr="0081742C">
              <w:t xml:space="preserve"> the attorney general's authority to bring an action in the name of the state to recover the civil penalty or for injunctive relief to require compliance</w:t>
            </w:r>
            <w:r w:rsidR="006A5CF5">
              <w:t xml:space="preserve"> and a provision authorizing the attorney general to recover reasonable expenses incurred in obtaining injunctive relief or a civil penalty</w:t>
            </w:r>
            <w:r w:rsidR="0097436C">
              <w:t>,</w:t>
            </w:r>
            <w:r w:rsidR="006A5CF5">
              <w:t xml:space="preserve"> including court costs, reasonable attorney's fees, and investigatory costs</w:t>
            </w:r>
            <w:r>
              <w:t>.</w:t>
            </w:r>
          </w:p>
          <w:p w14:paraId="141E8DF8" w14:textId="77777777" w:rsidR="000F7DA1" w:rsidRDefault="006F65A1" w:rsidP="00B27D5C">
            <w:pPr>
              <w:jc w:val="both"/>
            </w:pPr>
            <w:r>
              <w:t>Furthermore, the substit</w:t>
            </w:r>
            <w:r>
              <w:t>ute includes the following provisions, which were absent from the engrossed:</w:t>
            </w:r>
          </w:p>
          <w:p w14:paraId="6EF74F75" w14:textId="23562A61" w:rsidR="000F7DA1" w:rsidRDefault="006F65A1" w:rsidP="00B27D5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provision establishing </w:t>
            </w:r>
            <w:r w:rsidR="00E5697B" w:rsidRPr="00E5697B">
              <w:t xml:space="preserve">that the submission of a filing instrument is an affirmation by the organizer or by a managerial official named in the filing instrument that the name provided as the name of the filing entity does not falsely imply </w:t>
            </w:r>
            <w:r>
              <w:t>an</w:t>
            </w:r>
            <w:r w:rsidRPr="00E5697B">
              <w:t xml:space="preserve"> </w:t>
            </w:r>
            <w:r w:rsidR="00E5697B" w:rsidRPr="00E5697B">
              <w:t>affiliation</w:t>
            </w:r>
            <w:r w:rsidR="00E5697B">
              <w:t>;</w:t>
            </w:r>
          </w:p>
          <w:p w14:paraId="383C07B4" w14:textId="77777777" w:rsidR="000F7DA1" w:rsidRDefault="006F65A1" w:rsidP="00B27D5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 provision establishing that t</w:t>
            </w:r>
            <w:r w:rsidRPr="000F7DA1">
              <w:t>he addition of a word, phrase, or abbreviation that is required to be included in the name of a domestic or foreign filing entity is not a factor w</w:t>
            </w:r>
            <w:r w:rsidRPr="000F7DA1">
              <w:t xml:space="preserve">hen determining whether a name violates </w:t>
            </w:r>
            <w:r>
              <w:t>the prohibition against the use of a name that falsely implies affiliation with a governmental entity;</w:t>
            </w:r>
          </w:p>
          <w:p w14:paraId="28BE07DE" w14:textId="3CA1B379" w:rsidR="000F7DA1" w:rsidRDefault="006F65A1" w:rsidP="00B27D5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</w:t>
            </w:r>
            <w:r w:rsidR="006A5CF5">
              <w:t>provision specifying what an entity name means for purposes of the prohibition on the use of a name falsely implying a governmental affiliation</w:t>
            </w:r>
            <w:r>
              <w:t>; and</w:t>
            </w:r>
          </w:p>
          <w:p w14:paraId="43F3D261" w14:textId="25C33DD2" w:rsidR="0081742C" w:rsidRDefault="006F65A1" w:rsidP="00B27D5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</w:t>
            </w:r>
            <w:r w:rsidR="00E5697B">
              <w:t>require</w:t>
            </w:r>
            <w:r>
              <w:t>ment for</w:t>
            </w:r>
            <w:r w:rsidR="00E5697B">
              <w:t xml:space="preserve"> the secretary of state to </w:t>
            </w:r>
            <w:r w:rsidR="00E5697B" w:rsidRPr="00E5697B">
              <w:t>adopt rules and prescribe procedures to implement</w:t>
            </w:r>
            <w:r w:rsidR="00E5697B">
              <w:t xml:space="preserve"> the prohibition. </w:t>
            </w:r>
          </w:p>
          <w:p w14:paraId="5ED4CFD6" w14:textId="2FCFB331" w:rsidR="001160D6" w:rsidRPr="001160D6" w:rsidRDefault="001160D6" w:rsidP="00B27D5C">
            <w:pPr>
              <w:jc w:val="both"/>
            </w:pPr>
          </w:p>
        </w:tc>
      </w:tr>
      <w:tr w:rsidR="00BE0564" w14:paraId="58700479" w14:textId="77777777" w:rsidTr="00345119">
        <w:tc>
          <w:tcPr>
            <w:tcW w:w="9576" w:type="dxa"/>
          </w:tcPr>
          <w:p w14:paraId="5C87951B" w14:textId="77777777" w:rsidR="002F5E5D" w:rsidRPr="009C1E9A" w:rsidRDefault="002F5E5D" w:rsidP="00B27D5C">
            <w:pPr>
              <w:rPr>
                <w:b/>
                <w:u w:val="single"/>
              </w:rPr>
            </w:pPr>
          </w:p>
        </w:tc>
      </w:tr>
      <w:tr w:rsidR="00BE0564" w14:paraId="360A481F" w14:textId="77777777" w:rsidTr="00345119">
        <w:tc>
          <w:tcPr>
            <w:tcW w:w="9576" w:type="dxa"/>
          </w:tcPr>
          <w:p w14:paraId="3C0F67B4" w14:textId="77777777" w:rsidR="002F5E5D" w:rsidRPr="002F5E5D" w:rsidRDefault="002F5E5D" w:rsidP="00B27D5C">
            <w:pPr>
              <w:jc w:val="both"/>
            </w:pPr>
          </w:p>
        </w:tc>
      </w:tr>
    </w:tbl>
    <w:p w14:paraId="0947F151" w14:textId="77777777" w:rsidR="008423E4" w:rsidRPr="00BE0E75" w:rsidRDefault="008423E4" w:rsidP="00B27D5C">
      <w:pPr>
        <w:jc w:val="both"/>
        <w:rPr>
          <w:rFonts w:ascii="Arial" w:hAnsi="Arial"/>
          <w:sz w:val="16"/>
          <w:szCs w:val="16"/>
        </w:rPr>
      </w:pPr>
    </w:p>
    <w:p w14:paraId="2801616E" w14:textId="77777777" w:rsidR="004108C3" w:rsidRPr="008423E4" w:rsidRDefault="004108C3" w:rsidP="00B27D5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9CBC" w14:textId="77777777" w:rsidR="00000000" w:rsidRDefault="006F65A1">
      <w:r>
        <w:separator/>
      </w:r>
    </w:p>
  </w:endnote>
  <w:endnote w:type="continuationSeparator" w:id="0">
    <w:p w14:paraId="466EBFDD" w14:textId="77777777" w:rsidR="00000000" w:rsidRDefault="006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960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0564" w14:paraId="2DC9A1E9" w14:textId="77777777" w:rsidTr="009C1E9A">
      <w:trPr>
        <w:cantSplit/>
      </w:trPr>
      <w:tc>
        <w:tcPr>
          <w:tcW w:w="0" w:type="pct"/>
        </w:tcPr>
        <w:p w14:paraId="258D07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640F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BC7F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6BBA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E96B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0564" w14:paraId="4BE5EE61" w14:textId="77777777" w:rsidTr="009C1E9A">
      <w:trPr>
        <w:cantSplit/>
      </w:trPr>
      <w:tc>
        <w:tcPr>
          <w:tcW w:w="0" w:type="pct"/>
        </w:tcPr>
        <w:p w14:paraId="2B554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5EFC7B" w14:textId="340074F0" w:rsidR="00EC379B" w:rsidRPr="009C1E9A" w:rsidRDefault="006F65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27958</w:t>
          </w:r>
        </w:p>
      </w:tc>
      <w:tc>
        <w:tcPr>
          <w:tcW w:w="2453" w:type="pct"/>
        </w:tcPr>
        <w:p w14:paraId="3408AD1D" w14:textId="350E275D" w:rsidR="00EC379B" w:rsidRDefault="006F65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04CB">
            <w:t>21.139.1703</w:t>
          </w:r>
          <w:r>
            <w:fldChar w:fldCharType="end"/>
          </w:r>
        </w:p>
      </w:tc>
    </w:tr>
    <w:tr w:rsidR="00BE0564" w14:paraId="75720332" w14:textId="77777777" w:rsidTr="009C1E9A">
      <w:trPr>
        <w:cantSplit/>
      </w:trPr>
      <w:tc>
        <w:tcPr>
          <w:tcW w:w="0" w:type="pct"/>
        </w:tcPr>
        <w:p w14:paraId="4EF6D11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C083BF" w14:textId="4DC5DB1C" w:rsidR="00EC379B" w:rsidRPr="009C1E9A" w:rsidRDefault="006F65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27889</w:t>
          </w:r>
        </w:p>
      </w:tc>
      <w:tc>
        <w:tcPr>
          <w:tcW w:w="2453" w:type="pct"/>
        </w:tcPr>
        <w:p w14:paraId="0D8B24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F6F0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0564" w14:paraId="0955CF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F19C90" w14:textId="22C267D2" w:rsidR="00EC379B" w:rsidRDefault="006F65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7D5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D0FFC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F513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8E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023F" w14:textId="77777777" w:rsidR="00000000" w:rsidRDefault="006F65A1">
      <w:r>
        <w:separator/>
      </w:r>
    </w:p>
  </w:footnote>
  <w:footnote w:type="continuationSeparator" w:id="0">
    <w:p w14:paraId="0F989CC0" w14:textId="77777777" w:rsidR="00000000" w:rsidRDefault="006F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D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FCA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336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668"/>
    <w:multiLevelType w:val="hybridMultilevel"/>
    <w:tmpl w:val="94DAEFF4"/>
    <w:lvl w:ilvl="0" w:tplc="16E83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AF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2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7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A4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0C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64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2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C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FE9"/>
    <w:multiLevelType w:val="hybridMultilevel"/>
    <w:tmpl w:val="645E013C"/>
    <w:lvl w:ilvl="0" w:tplc="00842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A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2F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7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8B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80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2A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81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AE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9D7"/>
    <w:multiLevelType w:val="hybridMultilevel"/>
    <w:tmpl w:val="B234E8F2"/>
    <w:lvl w:ilvl="0" w:tplc="7732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48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EA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C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E5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A4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A3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28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5BF"/>
    <w:rsid w:val="00090E6B"/>
    <w:rsid w:val="000918CA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DA1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0D6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9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CDA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EDF"/>
    <w:rsid w:val="002A48DF"/>
    <w:rsid w:val="002A5A84"/>
    <w:rsid w:val="002A6E6F"/>
    <w:rsid w:val="002A74E4"/>
    <w:rsid w:val="002A7CFE"/>
    <w:rsid w:val="002B02CD"/>
    <w:rsid w:val="002B26DD"/>
    <w:rsid w:val="002B2870"/>
    <w:rsid w:val="002B391B"/>
    <w:rsid w:val="002B5B42"/>
    <w:rsid w:val="002B7BA7"/>
    <w:rsid w:val="002C0A8B"/>
    <w:rsid w:val="002C1C17"/>
    <w:rsid w:val="002C3203"/>
    <w:rsid w:val="002C3B07"/>
    <w:rsid w:val="002C532B"/>
    <w:rsid w:val="002C5713"/>
    <w:rsid w:val="002D05CC"/>
    <w:rsid w:val="002D305A"/>
    <w:rsid w:val="002E1FF8"/>
    <w:rsid w:val="002E21B8"/>
    <w:rsid w:val="002E7DF9"/>
    <w:rsid w:val="002F097B"/>
    <w:rsid w:val="002F3111"/>
    <w:rsid w:val="002F4AEC"/>
    <w:rsid w:val="002F5E5D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20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6FE"/>
    <w:rsid w:val="005C4C6F"/>
    <w:rsid w:val="005C5127"/>
    <w:rsid w:val="005C7CCB"/>
    <w:rsid w:val="005D1444"/>
    <w:rsid w:val="005D41E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15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369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C4E"/>
    <w:rsid w:val="00660144"/>
    <w:rsid w:val="00662B77"/>
    <w:rsid w:val="00662D0E"/>
    <w:rsid w:val="00663265"/>
    <w:rsid w:val="0066345F"/>
    <w:rsid w:val="0066485B"/>
    <w:rsid w:val="0067036E"/>
    <w:rsid w:val="00671693"/>
    <w:rsid w:val="006757AA"/>
    <w:rsid w:val="00680E8E"/>
    <w:rsid w:val="0068127E"/>
    <w:rsid w:val="00681790"/>
    <w:rsid w:val="006823AA"/>
    <w:rsid w:val="00684B98"/>
    <w:rsid w:val="00685DC9"/>
    <w:rsid w:val="00687465"/>
    <w:rsid w:val="00690464"/>
    <w:rsid w:val="006907CF"/>
    <w:rsid w:val="00691CCF"/>
    <w:rsid w:val="00693AFA"/>
    <w:rsid w:val="00693DC0"/>
    <w:rsid w:val="00695101"/>
    <w:rsid w:val="00695B9A"/>
    <w:rsid w:val="00696563"/>
    <w:rsid w:val="006979F8"/>
    <w:rsid w:val="006A5CF5"/>
    <w:rsid w:val="006A6068"/>
    <w:rsid w:val="006B0D8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5A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4C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93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0D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42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755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960"/>
    <w:rsid w:val="008F09DF"/>
    <w:rsid w:val="008F3053"/>
    <w:rsid w:val="008F3136"/>
    <w:rsid w:val="008F38E1"/>
    <w:rsid w:val="008F40DF"/>
    <w:rsid w:val="008F5DD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339"/>
    <w:rsid w:val="00915568"/>
    <w:rsid w:val="00916CF0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36C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9E5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2F3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BA3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FBA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BA3"/>
    <w:rsid w:val="00AF1433"/>
    <w:rsid w:val="00AF48B4"/>
    <w:rsid w:val="00AF4923"/>
    <w:rsid w:val="00AF7C74"/>
    <w:rsid w:val="00B000AF"/>
    <w:rsid w:val="00B04E79"/>
    <w:rsid w:val="00B071F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D5C"/>
    <w:rsid w:val="00B30647"/>
    <w:rsid w:val="00B31F0E"/>
    <w:rsid w:val="00B34F25"/>
    <w:rsid w:val="00B4211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6F48"/>
    <w:rsid w:val="00BA146A"/>
    <w:rsid w:val="00BA32EE"/>
    <w:rsid w:val="00BB57C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564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74C"/>
    <w:rsid w:val="00C14EE6"/>
    <w:rsid w:val="00C151DA"/>
    <w:rsid w:val="00C152A1"/>
    <w:rsid w:val="00C16CCB"/>
    <w:rsid w:val="00C2142B"/>
    <w:rsid w:val="00C22987"/>
    <w:rsid w:val="00C23956"/>
    <w:rsid w:val="00C248E6"/>
    <w:rsid w:val="00C25F7D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BB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44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61A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8AB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6C9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89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1F5"/>
    <w:rsid w:val="00DD5BCC"/>
    <w:rsid w:val="00DD7509"/>
    <w:rsid w:val="00DD7952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27E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97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F0E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195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FD7"/>
    <w:rsid w:val="00F44349"/>
    <w:rsid w:val="00F4561F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A0D"/>
    <w:rsid w:val="00FC5388"/>
    <w:rsid w:val="00FC726C"/>
    <w:rsid w:val="00FD1B4B"/>
    <w:rsid w:val="00FD1B94"/>
    <w:rsid w:val="00FD4A7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8AC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FEA05-A840-46C7-B17D-5EE7A7CF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3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6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6FE"/>
    <w:rPr>
      <w:b/>
      <w:bCs/>
    </w:rPr>
  </w:style>
  <w:style w:type="paragraph" w:styleId="ListParagraph">
    <w:name w:val="List Paragraph"/>
    <w:basedOn w:val="Normal"/>
    <w:uiPriority w:val="34"/>
    <w:qFormat/>
    <w:rsid w:val="001160D6"/>
    <w:pPr>
      <w:ind w:left="720"/>
      <w:contextualSpacing/>
    </w:pPr>
  </w:style>
  <w:style w:type="paragraph" w:styleId="Revision">
    <w:name w:val="Revision"/>
    <w:hidden/>
    <w:uiPriority w:val="99"/>
    <w:semiHidden/>
    <w:rsid w:val="00974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4912</Characters>
  <Application>Microsoft Office Word</Application>
  <DocSecurity>4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SB00275 (Committee Report (Substituted))</vt:lpstr>
    </vt:vector>
  </TitlesOfParts>
  <Company>State of Texas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27958</dc:subject>
  <dc:creator>State of Texas</dc:creator>
  <dc:description>SB 275 by Hinojosa-(H)Judiciary &amp; Civil Jurisprudence (Substitute Document Number: 87R 27889)</dc:description>
  <cp:lastModifiedBy>Damian Duarte</cp:lastModifiedBy>
  <cp:revision>2</cp:revision>
  <cp:lastPrinted>2003-11-26T17:21:00Z</cp:lastPrinted>
  <dcterms:created xsi:type="dcterms:W3CDTF">2021-05-20T20:23:00Z</dcterms:created>
  <dcterms:modified xsi:type="dcterms:W3CDTF">2021-05-20T20:23:00Z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21.139.1703</vt:lpwstr>
  </property>
</Properties>
</file>