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20F5B" w14:paraId="6D188267" w14:textId="77777777" w:rsidTr="00345119">
        <w:tc>
          <w:tcPr>
            <w:tcW w:w="9576" w:type="dxa"/>
            <w:noWrap/>
          </w:tcPr>
          <w:p w14:paraId="67596F87" w14:textId="77777777" w:rsidR="008423E4" w:rsidRPr="0022177D" w:rsidRDefault="00272390" w:rsidP="003E1867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604FACFE" w14:textId="77777777" w:rsidR="008423E4" w:rsidRPr="0022177D" w:rsidRDefault="008423E4" w:rsidP="003E1867">
      <w:pPr>
        <w:jc w:val="center"/>
      </w:pPr>
    </w:p>
    <w:p w14:paraId="6BAC649D" w14:textId="77777777" w:rsidR="008423E4" w:rsidRPr="00B31F0E" w:rsidRDefault="008423E4" w:rsidP="003E1867"/>
    <w:p w14:paraId="4F9CBACB" w14:textId="77777777" w:rsidR="008423E4" w:rsidRPr="00742794" w:rsidRDefault="008423E4" w:rsidP="003E186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20F5B" w14:paraId="64485DDA" w14:textId="77777777" w:rsidTr="00345119">
        <w:tc>
          <w:tcPr>
            <w:tcW w:w="9576" w:type="dxa"/>
          </w:tcPr>
          <w:p w14:paraId="4AB6DCFB" w14:textId="77777777" w:rsidR="008423E4" w:rsidRPr="00861995" w:rsidRDefault="00272390" w:rsidP="003E1867">
            <w:pPr>
              <w:jc w:val="right"/>
            </w:pPr>
            <w:r>
              <w:t>S.B. 280</w:t>
            </w:r>
          </w:p>
        </w:tc>
      </w:tr>
      <w:tr w:rsidR="00F20F5B" w14:paraId="4A453021" w14:textId="77777777" w:rsidTr="00345119">
        <w:tc>
          <w:tcPr>
            <w:tcW w:w="9576" w:type="dxa"/>
          </w:tcPr>
          <w:p w14:paraId="474557C6" w14:textId="77777777" w:rsidR="008423E4" w:rsidRPr="00861995" w:rsidRDefault="00272390" w:rsidP="003E1867">
            <w:pPr>
              <w:jc w:val="right"/>
            </w:pPr>
            <w:r>
              <w:t xml:space="preserve">By: </w:t>
            </w:r>
            <w:r w:rsidR="00D706E1">
              <w:t>Hinojosa</w:t>
            </w:r>
          </w:p>
        </w:tc>
      </w:tr>
      <w:tr w:rsidR="00F20F5B" w14:paraId="49AA8423" w14:textId="77777777" w:rsidTr="00345119">
        <w:tc>
          <w:tcPr>
            <w:tcW w:w="9576" w:type="dxa"/>
          </w:tcPr>
          <w:p w14:paraId="5B543CBA" w14:textId="77777777" w:rsidR="008423E4" w:rsidRPr="00861995" w:rsidRDefault="00272390" w:rsidP="003E1867">
            <w:pPr>
              <w:jc w:val="right"/>
            </w:pPr>
            <w:r>
              <w:t>Criminal Jurisprudence</w:t>
            </w:r>
          </w:p>
        </w:tc>
      </w:tr>
      <w:tr w:rsidR="00F20F5B" w14:paraId="54DFC92C" w14:textId="77777777" w:rsidTr="00345119">
        <w:tc>
          <w:tcPr>
            <w:tcW w:w="9576" w:type="dxa"/>
          </w:tcPr>
          <w:p w14:paraId="2D9C0104" w14:textId="77777777" w:rsidR="008423E4" w:rsidRDefault="00272390" w:rsidP="003E1867">
            <w:pPr>
              <w:jc w:val="right"/>
            </w:pPr>
            <w:r>
              <w:t>Committee Report (Unamended)</w:t>
            </w:r>
          </w:p>
        </w:tc>
      </w:tr>
    </w:tbl>
    <w:p w14:paraId="28358B35" w14:textId="77777777" w:rsidR="008423E4" w:rsidRDefault="008423E4" w:rsidP="003E1867">
      <w:pPr>
        <w:tabs>
          <w:tab w:val="right" w:pos="9360"/>
        </w:tabs>
      </w:pPr>
    </w:p>
    <w:p w14:paraId="292A2B26" w14:textId="77777777" w:rsidR="008423E4" w:rsidRDefault="008423E4" w:rsidP="003E1867"/>
    <w:p w14:paraId="51C621CD" w14:textId="77777777" w:rsidR="008423E4" w:rsidRDefault="008423E4" w:rsidP="003E186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20F5B" w14:paraId="1B25C4CD" w14:textId="77777777" w:rsidTr="00345119">
        <w:tc>
          <w:tcPr>
            <w:tcW w:w="9576" w:type="dxa"/>
          </w:tcPr>
          <w:p w14:paraId="390B9CE0" w14:textId="77777777" w:rsidR="008423E4" w:rsidRPr="00A8133F" w:rsidRDefault="00272390" w:rsidP="003E186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D8E0A54" w14:textId="77777777" w:rsidR="008423E4" w:rsidRDefault="008423E4" w:rsidP="003E1867"/>
          <w:p w14:paraId="1D2F00E6" w14:textId="49004C33" w:rsidR="008423E4" w:rsidRDefault="00272390" w:rsidP="003E18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="00396E28">
              <w:t xml:space="preserve">office </w:t>
            </w:r>
            <w:r>
              <w:t xml:space="preserve">of </w:t>
            </w:r>
            <w:r w:rsidR="00396E28">
              <w:t xml:space="preserve">capital </w:t>
            </w:r>
            <w:r>
              <w:t xml:space="preserve">and </w:t>
            </w:r>
            <w:r w:rsidR="00396E28">
              <w:t xml:space="preserve">forensic writs </w:t>
            </w:r>
            <w:r>
              <w:t xml:space="preserve">is a judicial agency that is the statewide public defender for post-conviction matters. The director of </w:t>
            </w:r>
            <w:r w:rsidR="004B0F3E">
              <w:t xml:space="preserve">the </w:t>
            </w:r>
            <w:r w:rsidR="00E361D7">
              <w:t xml:space="preserve">office </w:t>
            </w:r>
            <w:r>
              <w:t xml:space="preserve">is appointed by the </w:t>
            </w:r>
            <w:r w:rsidR="004B0F3E">
              <w:t xml:space="preserve">Texas </w:t>
            </w:r>
            <w:r>
              <w:t>Court of Criminal Appeals</w:t>
            </w:r>
            <w:r w:rsidR="00396E28">
              <w:t xml:space="preserve"> (CCA)</w:t>
            </w:r>
            <w:r>
              <w:t xml:space="preserve"> to a four-year term, upon a recommendation of the statutorily created </w:t>
            </w:r>
            <w:r w:rsidR="00396E28">
              <w:t>c</w:t>
            </w:r>
            <w:r>
              <w:t xml:space="preserve">apital and </w:t>
            </w:r>
            <w:r w:rsidR="00396E28">
              <w:t>f</w:t>
            </w:r>
            <w:r>
              <w:t xml:space="preserve">orensic </w:t>
            </w:r>
            <w:r w:rsidR="00396E28">
              <w:t>w</w:t>
            </w:r>
            <w:r>
              <w:t xml:space="preserve">rits </w:t>
            </w:r>
            <w:r w:rsidR="00396E28">
              <w:t>c</w:t>
            </w:r>
            <w:r>
              <w:t xml:space="preserve">ommittee. Apart from interviewing and recommending qualified candidates for the position of director to the </w:t>
            </w:r>
            <w:r w:rsidR="00396E28">
              <w:t>CCA</w:t>
            </w:r>
            <w:r>
              <w:t xml:space="preserve">, the committee does not serve in any advisory or oversight capacity. While the </w:t>
            </w:r>
            <w:r w:rsidR="00396E28">
              <w:t>CCA</w:t>
            </w:r>
            <w:r>
              <w:t xml:space="preserve"> selects and appoints the director of </w:t>
            </w:r>
            <w:r w:rsidR="00E361D7">
              <w:t>the office</w:t>
            </w:r>
            <w:r>
              <w:t xml:space="preserve">, and can terminate the director upon good cause, there is currently no mechanism for ongoing oversight of </w:t>
            </w:r>
            <w:r w:rsidR="00E361D7">
              <w:t xml:space="preserve">the office's </w:t>
            </w:r>
            <w:r>
              <w:t>programmatic and fiscal governance, or any entity with the responsibility to provide support and assistance in advancing the</w:t>
            </w:r>
            <w:r w:rsidR="00E361D7">
              <w:t xml:space="preserve"> office's</w:t>
            </w:r>
            <w:r>
              <w:t xml:space="preserve"> m</w:t>
            </w:r>
            <w:r>
              <w:t xml:space="preserve">ission. A 2018 outside assessment of </w:t>
            </w:r>
            <w:r w:rsidR="00E361D7">
              <w:t xml:space="preserve">the office </w:t>
            </w:r>
            <w:r>
              <w:t xml:space="preserve">recommended that an independent oversight board be created to ensure program integrity, professional independence, and accountability. S.B. 280 </w:t>
            </w:r>
            <w:r w:rsidR="00396E28">
              <w:t xml:space="preserve">seeks to </w:t>
            </w:r>
            <w:r w:rsidR="00E361D7">
              <w:t>revise the composition and duties of</w:t>
            </w:r>
            <w:r w:rsidR="00E25B5F">
              <w:t xml:space="preserve"> </w:t>
            </w:r>
            <w:r>
              <w:t xml:space="preserve">the existing </w:t>
            </w:r>
            <w:r w:rsidR="00E361D7">
              <w:t xml:space="preserve">capital and forensic writs </w:t>
            </w:r>
            <w:r>
              <w:t xml:space="preserve">committee to enhance governance, accountability, and support, while maintaining professionally appropriate independence for the </w:t>
            </w:r>
            <w:r w:rsidR="00E361D7">
              <w:t>office</w:t>
            </w:r>
            <w:r>
              <w:t>.</w:t>
            </w:r>
          </w:p>
          <w:p w14:paraId="2F423CDD" w14:textId="77777777" w:rsidR="008423E4" w:rsidRPr="00E26B13" w:rsidRDefault="008423E4" w:rsidP="003E1867">
            <w:pPr>
              <w:rPr>
                <w:b/>
              </w:rPr>
            </w:pPr>
          </w:p>
        </w:tc>
      </w:tr>
      <w:tr w:rsidR="00F20F5B" w14:paraId="34B260CA" w14:textId="77777777" w:rsidTr="00345119">
        <w:tc>
          <w:tcPr>
            <w:tcW w:w="9576" w:type="dxa"/>
          </w:tcPr>
          <w:p w14:paraId="12FBB023" w14:textId="77777777" w:rsidR="0017725B" w:rsidRDefault="00272390" w:rsidP="003E18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CA0E303" w14:textId="77777777" w:rsidR="0017725B" w:rsidRDefault="0017725B" w:rsidP="003E1867">
            <w:pPr>
              <w:rPr>
                <w:b/>
                <w:u w:val="single"/>
              </w:rPr>
            </w:pPr>
          </w:p>
          <w:p w14:paraId="2331E20D" w14:textId="77777777" w:rsidR="00973D06" w:rsidRPr="00973D06" w:rsidRDefault="00272390" w:rsidP="003E1867">
            <w:pPr>
              <w:jc w:val="both"/>
            </w:pPr>
            <w:r>
              <w:t xml:space="preserve">It is the committee's opinion that this bill does not expressly create </w:t>
            </w:r>
            <w:r>
              <w:t>a criminal offense, increase the punishment for an existing criminal offense or category of offenses, or change the eligibility of a person for community supervision, parole, or mandatory supervision.</w:t>
            </w:r>
          </w:p>
          <w:p w14:paraId="4BB9DF25" w14:textId="77777777" w:rsidR="0017725B" w:rsidRPr="0017725B" w:rsidRDefault="0017725B" w:rsidP="003E1867">
            <w:pPr>
              <w:rPr>
                <w:b/>
                <w:u w:val="single"/>
              </w:rPr>
            </w:pPr>
          </w:p>
        </w:tc>
      </w:tr>
      <w:tr w:rsidR="00F20F5B" w14:paraId="0C193D05" w14:textId="77777777" w:rsidTr="00345119">
        <w:tc>
          <w:tcPr>
            <w:tcW w:w="9576" w:type="dxa"/>
          </w:tcPr>
          <w:p w14:paraId="3A37F0C3" w14:textId="77777777" w:rsidR="008423E4" w:rsidRPr="00A8133F" w:rsidRDefault="00272390" w:rsidP="003E186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F1C3858" w14:textId="77777777" w:rsidR="008423E4" w:rsidRDefault="008423E4" w:rsidP="003E1867"/>
          <w:p w14:paraId="48AA30BB" w14:textId="77777777" w:rsidR="00973D06" w:rsidRDefault="00272390" w:rsidP="003E18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</w:t>
            </w:r>
            <w:r>
              <w:t>that this bill does not expressly grant any additional rulemaking authority to a state officer, department, agency, or institution.</w:t>
            </w:r>
          </w:p>
          <w:p w14:paraId="441C4894" w14:textId="77777777" w:rsidR="008423E4" w:rsidRPr="00E21FDC" w:rsidRDefault="008423E4" w:rsidP="003E1867">
            <w:pPr>
              <w:rPr>
                <w:b/>
              </w:rPr>
            </w:pPr>
          </w:p>
        </w:tc>
      </w:tr>
      <w:tr w:rsidR="00F20F5B" w14:paraId="1DCB17AD" w14:textId="77777777" w:rsidTr="00345119">
        <w:tc>
          <w:tcPr>
            <w:tcW w:w="9576" w:type="dxa"/>
          </w:tcPr>
          <w:p w14:paraId="3F46A7D5" w14:textId="77777777" w:rsidR="008423E4" w:rsidRPr="00A8133F" w:rsidRDefault="00272390" w:rsidP="003E186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4A16701" w14:textId="77777777" w:rsidR="008423E4" w:rsidRDefault="008423E4" w:rsidP="003E1867"/>
          <w:p w14:paraId="0EF955ED" w14:textId="03842808" w:rsidR="009C36CD" w:rsidRDefault="00272390" w:rsidP="003E18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280 amends the </w:t>
            </w:r>
            <w:r w:rsidRPr="00ED284D">
              <w:t>Government Code</w:t>
            </w:r>
            <w:r>
              <w:t xml:space="preserve"> to </w:t>
            </w:r>
            <w:r w:rsidR="00576A99">
              <w:t>include the following among the</w:t>
            </w:r>
            <w:r w:rsidRPr="00ED284D">
              <w:t xml:space="preserve"> duties of the capital and forensic writs committee</w:t>
            </w:r>
            <w:r>
              <w:t>:</w:t>
            </w:r>
          </w:p>
          <w:p w14:paraId="28AB3183" w14:textId="60304E08" w:rsidR="00576A99" w:rsidRDefault="00272390" w:rsidP="003E186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providing oversight and strategic guidance to the office of capital and forensic writs; and</w:t>
            </w:r>
          </w:p>
          <w:p w14:paraId="0E62204B" w14:textId="6A3820E5" w:rsidR="00ED284D" w:rsidRDefault="00272390" w:rsidP="003E186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ED284D">
              <w:t xml:space="preserve">setting policy </w:t>
            </w:r>
            <w:r>
              <w:t xml:space="preserve">and </w:t>
            </w:r>
            <w:r w:rsidRPr="00ED284D">
              <w:t>developing a budget proposal</w:t>
            </w:r>
            <w:r>
              <w:t xml:space="preserve"> </w:t>
            </w:r>
            <w:r w:rsidRPr="00ED284D">
              <w:t>for the office</w:t>
            </w:r>
            <w:r w:rsidR="00576A99">
              <w:t>.</w:t>
            </w:r>
          </w:p>
          <w:p w14:paraId="657DA3C0" w14:textId="0652F033" w:rsidR="00ED284D" w:rsidRDefault="00272390" w:rsidP="003E18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prohibits the committee from accessing</w:t>
            </w:r>
            <w:r>
              <w:t xml:space="preserve"> </w:t>
            </w:r>
            <w:r w:rsidRPr="00ED284D">
              <w:t>privileged or confidential information</w:t>
            </w:r>
            <w:r w:rsidR="00722429">
              <w:t>.</w:t>
            </w:r>
          </w:p>
          <w:p w14:paraId="10A87F7A" w14:textId="77777777" w:rsidR="00576A99" w:rsidRDefault="00576A99" w:rsidP="003E1867">
            <w:pPr>
              <w:pStyle w:val="Header"/>
              <w:jc w:val="both"/>
            </w:pPr>
          </w:p>
          <w:p w14:paraId="5B9AF07B" w14:textId="4A1E8A32" w:rsidR="00722429" w:rsidRDefault="00272390" w:rsidP="003E1867">
            <w:pPr>
              <w:pStyle w:val="Header"/>
              <w:jc w:val="both"/>
            </w:pPr>
            <w:r>
              <w:t>S.B. 280 revises the composition of the committee as follows:</w:t>
            </w:r>
          </w:p>
          <w:p w14:paraId="4B6816D5" w14:textId="36D5836F" w:rsidR="00722429" w:rsidRDefault="00272390" w:rsidP="003E1867">
            <w:pPr>
              <w:pStyle w:val="Header"/>
              <w:numPr>
                <w:ilvl w:val="0"/>
                <w:numId w:val="2"/>
              </w:numPr>
              <w:jc w:val="both"/>
            </w:pPr>
            <w:r>
              <w:t>by removing the requirement for two members to be district judges and requiring those members</w:t>
            </w:r>
            <w:r w:rsidR="000F4CEB">
              <w:t xml:space="preserve"> </w:t>
            </w:r>
            <w:r>
              <w:t>to be attorneys instead;</w:t>
            </w:r>
            <w:r w:rsidR="005805A2">
              <w:t xml:space="preserve"> and</w:t>
            </w:r>
          </w:p>
          <w:p w14:paraId="638BE661" w14:textId="3FDCD754" w:rsidR="00722429" w:rsidRDefault="00272390" w:rsidP="003E1867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by changing the </w:t>
            </w:r>
            <w:r w:rsidR="000F4CEB">
              <w:t>nature of the appointments from all five members appointed by the president of the State Bar of Texas with ratification by its executive committee</w:t>
            </w:r>
            <w:r>
              <w:t xml:space="preserve"> to the following:</w:t>
            </w:r>
          </w:p>
          <w:p w14:paraId="091204DD" w14:textId="163D8F41" w:rsidR="00722429" w:rsidRDefault="00272390" w:rsidP="003E1867">
            <w:pPr>
              <w:pStyle w:val="Header"/>
              <w:numPr>
                <w:ilvl w:val="1"/>
                <w:numId w:val="2"/>
              </w:numPr>
              <w:jc w:val="both"/>
            </w:pPr>
            <w:r>
              <w:t xml:space="preserve">three attorneys appointed by the </w:t>
            </w:r>
            <w:r w:rsidRPr="00962BE8">
              <w:t>executive director of the Texas Indigent Defense Commission</w:t>
            </w:r>
            <w:r>
              <w:t>; and</w:t>
            </w:r>
          </w:p>
          <w:p w14:paraId="2E6FCCB7" w14:textId="0530702F" w:rsidR="00722429" w:rsidRDefault="00272390" w:rsidP="003E1867">
            <w:pPr>
              <w:pStyle w:val="Header"/>
              <w:numPr>
                <w:ilvl w:val="1"/>
                <w:numId w:val="2"/>
              </w:numPr>
              <w:jc w:val="both"/>
            </w:pPr>
            <w:r>
              <w:t>two at</w:t>
            </w:r>
            <w:r>
              <w:t>torneys appointed by the state bar president with that ratification</w:t>
            </w:r>
            <w:r w:rsidR="005805A2">
              <w:t>.</w:t>
            </w:r>
            <w:r>
              <w:t xml:space="preserve"> </w:t>
            </w:r>
          </w:p>
          <w:p w14:paraId="5223B7C3" w14:textId="688551D9" w:rsidR="00210C07" w:rsidRDefault="00272390" w:rsidP="003E1867">
            <w:pPr>
              <w:pStyle w:val="Header"/>
              <w:jc w:val="both"/>
            </w:pPr>
            <w:r>
              <w:t>The bill requires</w:t>
            </w:r>
            <w:r w:rsidR="00722429">
              <w:t xml:space="preserve"> all members to be a licensed attorney</w:t>
            </w:r>
            <w:r>
              <w:t xml:space="preserve"> with significant experience in capital defense or indigent criminal defense policy or practice</w:t>
            </w:r>
            <w:r w:rsidR="00722429">
              <w:t xml:space="preserve"> </w:t>
            </w:r>
            <w:r>
              <w:t xml:space="preserve">and prohibits </w:t>
            </w:r>
            <w:r w:rsidR="00576A99">
              <w:t>member</w:t>
            </w:r>
            <w:r>
              <w:t>s</w:t>
            </w:r>
            <w:r w:rsidR="00576A99">
              <w:t xml:space="preserve"> </w:t>
            </w:r>
            <w:r>
              <w:t>from</w:t>
            </w:r>
            <w:r w:rsidR="00576A99">
              <w:t xml:space="preserve"> be</w:t>
            </w:r>
            <w:r>
              <w:t>ing</w:t>
            </w:r>
            <w:r w:rsidR="00576A99">
              <w:t xml:space="preserve"> </w:t>
            </w:r>
            <w:r w:rsidR="00576A99" w:rsidRPr="00525F31">
              <w:t>a prosecutor, a law enforcement official, a judge of a court that presides over criminal offenses, or an employee of the office</w:t>
            </w:r>
            <w:r w:rsidR="00576A99">
              <w:t>.</w:t>
            </w:r>
            <w:r>
              <w:t xml:space="preserve"> </w:t>
            </w:r>
            <w:r w:rsidR="00722429">
              <w:t xml:space="preserve">The bill </w:t>
            </w:r>
            <w:r>
              <w:t>establishes four-year</w:t>
            </w:r>
            <w:r w:rsidR="00722429">
              <w:t xml:space="preserve"> member terms,</w:t>
            </w:r>
            <w:r>
              <w:t xml:space="preserve"> authorizes</w:t>
            </w:r>
            <w:r w:rsidR="00722429">
              <w:t xml:space="preserve"> reappointment, </w:t>
            </w:r>
            <w:r>
              <w:t xml:space="preserve">provides for the filling of </w:t>
            </w:r>
            <w:r w:rsidR="00722429">
              <w:t>member vacancies</w:t>
            </w:r>
            <w:r>
              <w:t>,</w:t>
            </w:r>
            <w:r w:rsidR="00722429">
              <w:t xml:space="preserve"> and removes </w:t>
            </w:r>
            <w:r>
              <w:t>language</w:t>
            </w:r>
            <w:r w:rsidR="00722429">
              <w:t xml:space="preserve"> establishing that m</w:t>
            </w:r>
            <w:r w:rsidR="00722429" w:rsidRPr="009B3982">
              <w:t xml:space="preserve">embers serve at the pleasure of the </w:t>
            </w:r>
            <w:r>
              <w:t xml:space="preserve">state bar </w:t>
            </w:r>
            <w:r w:rsidR="00722429" w:rsidRPr="009B3982">
              <w:t>president</w:t>
            </w:r>
            <w:r w:rsidR="00722429">
              <w:t xml:space="preserve">. </w:t>
            </w:r>
          </w:p>
          <w:p w14:paraId="3F4D9147" w14:textId="77777777" w:rsidR="00210C07" w:rsidRPr="00210C07" w:rsidRDefault="00210C07" w:rsidP="003E1867">
            <w:pPr>
              <w:rPr>
                <w:b/>
              </w:rPr>
            </w:pPr>
          </w:p>
        </w:tc>
      </w:tr>
      <w:tr w:rsidR="00F20F5B" w14:paraId="34CD45A7" w14:textId="77777777" w:rsidTr="00345119">
        <w:tc>
          <w:tcPr>
            <w:tcW w:w="9576" w:type="dxa"/>
          </w:tcPr>
          <w:p w14:paraId="13581B3F" w14:textId="77777777" w:rsidR="008423E4" w:rsidRPr="00A8133F" w:rsidRDefault="00272390" w:rsidP="003E186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619F9BB" w14:textId="77777777" w:rsidR="008423E4" w:rsidRDefault="008423E4" w:rsidP="003E1867"/>
          <w:p w14:paraId="1D8E5D77" w14:textId="77777777" w:rsidR="008423E4" w:rsidRPr="003624F2" w:rsidRDefault="00272390" w:rsidP="003E18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79A47299" w14:textId="77777777" w:rsidR="008423E4" w:rsidRPr="00233FDB" w:rsidRDefault="008423E4" w:rsidP="003E1867">
            <w:pPr>
              <w:rPr>
                <w:b/>
              </w:rPr>
            </w:pPr>
          </w:p>
        </w:tc>
      </w:tr>
    </w:tbl>
    <w:p w14:paraId="41F5EB10" w14:textId="77777777" w:rsidR="008423E4" w:rsidRPr="00BE0E75" w:rsidRDefault="008423E4" w:rsidP="003E1867">
      <w:pPr>
        <w:jc w:val="both"/>
        <w:rPr>
          <w:rFonts w:ascii="Arial" w:hAnsi="Arial"/>
          <w:sz w:val="16"/>
          <w:szCs w:val="16"/>
        </w:rPr>
      </w:pPr>
    </w:p>
    <w:p w14:paraId="1247A506" w14:textId="77777777" w:rsidR="004108C3" w:rsidRPr="008423E4" w:rsidRDefault="004108C3" w:rsidP="003E186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82721" w14:textId="77777777" w:rsidR="00000000" w:rsidRDefault="00272390">
      <w:r>
        <w:separator/>
      </w:r>
    </w:p>
  </w:endnote>
  <w:endnote w:type="continuationSeparator" w:id="0">
    <w:p w14:paraId="4155A5AB" w14:textId="77777777" w:rsidR="00000000" w:rsidRDefault="0027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537FF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20F5B" w14:paraId="39C53F59" w14:textId="77777777" w:rsidTr="009C1E9A">
      <w:trPr>
        <w:cantSplit/>
      </w:trPr>
      <w:tc>
        <w:tcPr>
          <w:tcW w:w="0" w:type="pct"/>
        </w:tcPr>
        <w:p w14:paraId="368032D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F2BE78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25E1C6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F75817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9F5E7A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20F5B" w14:paraId="6074624C" w14:textId="77777777" w:rsidTr="009C1E9A">
      <w:trPr>
        <w:cantSplit/>
      </w:trPr>
      <w:tc>
        <w:tcPr>
          <w:tcW w:w="0" w:type="pct"/>
        </w:tcPr>
        <w:p w14:paraId="5F1C03F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0D0CAE9" w14:textId="77777777" w:rsidR="00EC379B" w:rsidRPr="009C1E9A" w:rsidRDefault="0027239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25852</w:t>
          </w:r>
        </w:p>
      </w:tc>
      <w:tc>
        <w:tcPr>
          <w:tcW w:w="2453" w:type="pct"/>
        </w:tcPr>
        <w:p w14:paraId="75051E9D" w14:textId="5DA1D6C2" w:rsidR="00EC379B" w:rsidRDefault="002723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905CB">
            <w:t>21.130.1699</w:t>
          </w:r>
          <w:r>
            <w:fldChar w:fldCharType="end"/>
          </w:r>
        </w:p>
      </w:tc>
    </w:tr>
    <w:tr w:rsidR="00F20F5B" w14:paraId="22229182" w14:textId="77777777" w:rsidTr="009C1E9A">
      <w:trPr>
        <w:cantSplit/>
      </w:trPr>
      <w:tc>
        <w:tcPr>
          <w:tcW w:w="0" w:type="pct"/>
        </w:tcPr>
        <w:p w14:paraId="6BEBE1C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341D69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FD2B21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10684D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20F5B" w14:paraId="04FEF81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334EFA3" w14:textId="5A028460" w:rsidR="00EC379B" w:rsidRDefault="0027239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E1867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0D9F7A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4817C0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C6CB8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19A3F" w14:textId="77777777" w:rsidR="00000000" w:rsidRDefault="00272390">
      <w:r>
        <w:separator/>
      </w:r>
    </w:p>
  </w:footnote>
  <w:footnote w:type="continuationSeparator" w:id="0">
    <w:p w14:paraId="771A2FF1" w14:textId="77777777" w:rsidR="00000000" w:rsidRDefault="00272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1B7D5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9F66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D0FC3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CE9"/>
    <w:multiLevelType w:val="hybridMultilevel"/>
    <w:tmpl w:val="3E6AF792"/>
    <w:lvl w:ilvl="0" w:tplc="EC9A8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5E00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049A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0FD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A1A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7851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A14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0C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E86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A4BF1"/>
    <w:multiLevelType w:val="hybridMultilevel"/>
    <w:tmpl w:val="6756C224"/>
    <w:lvl w:ilvl="0" w:tplc="FDE259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C41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4646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60F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EE1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8EF4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240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6B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DC20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E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5CB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4CEB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0C07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390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57EFA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0F97"/>
    <w:rsid w:val="00392DA1"/>
    <w:rsid w:val="00393718"/>
    <w:rsid w:val="00396E2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1867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0F3E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2DB"/>
    <w:rsid w:val="005073E8"/>
    <w:rsid w:val="00510503"/>
    <w:rsid w:val="0051324D"/>
    <w:rsid w:val="00515466"/>
    <w:rsid w:val="005154F7"/>
    <w:rsid w:val="005159DE"/>
    <w:rsid w:val="00525F31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0D10"/>
    <w:rsid w:val="00573401"/>
    <w:rsid w:val="00576714"/>
    <w:rsid w:val="0057685A"/>
    <w:rsid w:val="00576A99"/>
    <w:rsid w:val="005805A2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429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35C9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2BE8"/>
    <w:rsid w:val="0096482F"/>
    <w:rsid w:val="00964E3A"/>
    <w:rsid w:val="00967126"/>
    <w:rsid w:val="00970EAE"/>
    <w:rsid w:val="00971627"/>
    <w:rsid w:val="00972797"/>
    <w:rsid w:val="0097279D"/>
    <w:rsid w:val="00973D06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82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67A69"/>
    <w:rsid w:val="00A70E35"/>
    <w:rsid w:val="00A720DC"/>
    <w:rsid w:val="00A75B0E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157E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C16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8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06E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066F"/>
    <w:rsid w:val="00DB311F"/>
    <w:rsid w:val="00DB53C6"/>
    <w:rsid w:val="00DB59E3"/>
    <w:rsid w:val="00DB6CB6"/>
    <w:rsid w:val="00DB758F"/>
    <w:rsid w:val="00DC1F1B"/>
    <w:rsid w:val="00DC2E4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5B5F"/>
    <w:rsid w:val="00E26B13"/>
    <w:rsid w:val="00E27E5A"/>
    <w:rsid w:val="00E31135"/>
    <w:rsid w:val="00E317BA"/>
    <w:rsid w:val="00E3469B"/>
    <w:rsid w:val="00E361D7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84D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0F5B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41E889-FC22-4459-82D7-C962AA43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10C0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10C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0C0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0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0C07"/>
    <w:rPr>
      <w:b/>
      <w:bCs/>
    </w:rPr>
  </w:style>
  <w:style w:type="paragraph" w:styleId="ListParagraph">
    <w:name w:val="List Paragraph"/>
    <w:basedOn w:val="Normal"/>
    <w:uiPriority w:val="34"/>
    <w:qFormat/>
    <w:rsid w:val="00210C07"/>
    <w:pPr>
      <w:ind w:left="720"/>
      <w:contextualSpacing/>
    </w:pPr>
  </w:style>
  <w:style w:type="character" w:styleId="Hyperlink">
    <w:name w:val="Hyperlink"/>
    <w:basedOn w:val="DefaultParagraphFont"/>
    <w:unhideWhenUsed/>
    <w:rsid w:val="00576A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2804</Characters>
  <Application>Microsoft Office Word</Application>
  <DocSecurity>4</DocSecurity>
  <Lines>68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SB00280 (Committee Report (Unamended))</vt:lpstr>
    </vt:vector>
  </TitlesOfParts>
  <Company>State of Texas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25852</dc:subject>
  <dc:creator>State of Texas</dc:creator>
  <dc:description>SB 280 by Hinojosa-(H)Criminal Jurisprudence</dc:description>
  <cp:lastModifiedBy>Stacey Nicchio</cp:lastModifiedBy>
  <cp:revision>2</cp:revision>
  <cp:lastPrinted>2003-11-26T17:21:00Z</cp:lastPrinted>
  <dcterms:created xsi:type="dcterms:W3CDTF">2021-05-11T23:03:00Z</dcterms:created>
  <dcterms:modified xsi:type="dcterms:W3CDTF">2021-05-11T23:03:00Z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21.130.1699</vt:lpwstr>
  </property>
</Properties>
</file>