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A221E" w14:paraId="44CE317B" w14:textId="77777777" w:rsidTr="00345119">
        <w:tc>
          <w:tcPr>
            <w:tcW w:w="9576" w:type="dxa"/>
            <w:noWrap/>
          </w:tcPr>
          <w:p w14:paraId="7B6AA1CD" w14:textId="77777777" w:rsidR="008423E4" w:rsidRPr="0022177D" w:rsidRDefault="00C42DBC" w:rsidP="00D6194F">
            <w:pPr>
              <w:pStyle w:val="Heading1"/>
            </w:pPr>
            <w:bookmarkStart w:id="0" w:name="_GoBack"/>
            <w:bookmarkEnd w:id="0"/>
            <w:r w:rsidRPr="00631897">
              <w:t>BILL ANALYSIS</w:t>
            </w:r>
          </w:p>
        </w:tc>
      </w:tr>
    </w:tbl>
    <w:p w14:paraId="354D06D6" w14:textId="77777777" w:rsidR="008423E4" w:rsidRPr="0022177D" w:rsidRDefault="008423E4" w:rsidP="00D6194F">
      <w:pPr>
        <w:jc w:val="center"/>
      </w:pPr>
    </w:p>
    <w:p w14:paraId="670C20B3" w14:textId="77777777" w:rsidR="008423E4" w:rsidRPr="00B31F0E" w:rsidRDefault="008423E4" w:rsidP="00D6194F"/>
    <w:p w14:paraId="574F4E84" w14:textId="77777777" w:rsidR="008423E4" w:rsidRPr="00742794" w:rsidRDefault="008423E4" w:rsidP="00D6194F">
      <w:pPr>
        <w:tabs>
          <w:tab w:val="right" w:pos="9360"/>
        </w:tabs>
      </w:pPr>
    </w:p>
    <w:tbl>
      <w:tblPr>
        <w:tblW w:w="0" w:type="auto"/>
        <w:tblLayout w:type="fixed"/>
        <w:tblLook w:val="01E0" w:firstRow="1" w:lastRow="1" w:firstColumn="1" w:lastColumn="1" w:noHBand="0" w:noVBand="0"/>
      </w:tblPr>
      <w:tblGrid>
        <w:gridCol w:w="9576"/>
      </w:tblGrid>
      <w:tr w:rsidR="007A221E" w14:paraId="1886E6C7" w14:textId="77777777" w:rsidTr="00345119">
        <w:tc>
          <w:tcPr>
            <w:tcW w:w="9576" w:type="dxa"/>
          </w:tcPr>
          <w:p w14:paraId="1883EF7A" w14:textId="08753E81" w:rsidR="008423E4" w:rsidRPr="00861995" w:rsidRDefault="00C42DBC" w:rsidP="00D6194F">
            <w:pPr>
              <w:jc w:val="right"/>
            </w:pPr>
            <w:r>
              <w:t>S.B. 415</w:t>
            </w:r>
          </w:p>
        </w:tc>
      </w:tr>
      <w:tr w:rsidR="007A221E" w14:paraId="3C91E40F" w14:textId="77777777" w:rsidTr="00345119">
        <w:tc>
          <w:tcPr>
            <w:tcW w:w="9576" w:type="dxa"/>
          </w:tcPr>
          <w:p w14:paraId="0A501067" w14:textId="33FFEC95" w:rsidR="008423E4" w:rsidRPr="00861995" w:rsidRDefault="00C42DBC" w:rsidP="00D6194F">
            <w:pPr>
              <w:jc w:val="right"/>
            </w:pPr>
            <w:r>
              <w:t xml:space="preserve">By: </w:t>
            </w:r>
            <w:r w:rsidR="00BC78EA">
              <w:t>Hancock</w:t>
            </w:r>
          </w:p>
        </w:tc>
      </w:tr>
      <w:tr w:rsidR="007A221E" w14:paraId="0C246D54" w14:textId="77777777" w:rsidTr="00345119">
        <w:tc>
          <w:tcPr>
            <w:tcW w:w="9576" w:type="dxa"/>
          </w:tcPr>
          <w:p w14:paraId="43E6E678" w14:textId="11F911D6" w:rsidR="008423E4" w:rsidRPr="00861995" w:rsidRDefault="00C42DBC" w:rsidP="00D6194F">
            <w:pPr>
              <w:jc w:val="right"/>
            </w:pPr>
            <w:r>
              <w:t>State Affairs</w:t>
            </w:r>
          </w:p>
        </w:tc>
      </w:tr>
      <w:tr w:rsidR="007A221E" w14:paraId="72EF2B97" w14:textId="77777777" w:rsidTr="00345119">
        <w:tc>
          <w:tcPr>
            <w:tcW w:w="9576" w:type="dxa"/>
          </w:tcPr>
          <w:p w14:paraId="6C82D9EC" w14:textId="20D04DE5" w:rsidR="008423E4" w:rsidRDefault="00C42DBC" w:rsidP="00D6194F">
            <w:pPr>
              <w:jc w:val="right"/>
            </w:pPr>
            <w:r>
              <w:t>Committee Report (Unamended)</w:t>
            </w:r>
          </w:p>
        </w:tc>
      </w:tr>
    </w:tbl>
    <w:p w14:paraId="5C683F9B" w14:textId="77777777" w:rsidR="008423E4" w:rsidRDefault="008423E4" w:rsidP="00D6194F">
      <w:pPr>
        <w:tabs>
          <w:tab w:val="right" w:pos="9360"/>
        </w:tabs>
      </w:pPr>
    </w:p>
    <w:p w14:paraId="265D11F9" w14:textId="77777777" w:rsidR="008423E4" w:rsidRDefault="008423E4" w:rsidP="00D6194F"/>
    <w:p w14:paraId="5B87502D" w14:textId="77777777" w:rsidR="008423E4" w:rsidRDefault="008423E4" w:rsidP="00D6194F"/>
    <w:tbl>
      <w:tblPr>
        <w:tblW w:w="0" w:type="auto"/>
        <w:tblCellMar>
          <w:left w:w="115" w:type="dxa"/>
          <w:right w:w="115" w:type="dxa"/>
        </w:tblCellMar>
        <w:tblLook w:val="01E0" w:firstRow="1" w:lastRow="1" w:firstColumn="1" w:lastColumn="1" w:noHBand="0" w:noVBand="0"/>
      </w:tblPr>
      <w:tblGrid>
        <w:gridCol w:w="9360"/>
      </w:tblGrid>
      <w:tr w:rsidR="007A221E" w14:paraId="1E059609" w14:textId="77777777" w:rsidTr="00302E9F">
        <w:tc>
          <w:tcPr>
            <w:tcW w:w="9360" w:type="dxa"/>
          </w:tcPr>
          <w:p w14:paraId="711BBC91" w14:textId="77777777" w:rsidR="008423E4" w:rsidRPr="00A8133F" w:rsidRDefault="00C42DBC" w:rsidP="00D6194F">
            <w:pPr>
              <w:rPr>
                <w:b/>
              </w:rPr>
            </w:pPr>
            <w:r w:rsidRPr="009C1E9A">
              <w:rPr>
                <w:b/>
                <w:u w:val="single"/>
              </w:rPr>
              <w:t>BACKGROUND AND PURPOSE</w:t>
            </w:r>
            <w:r>
              <w:rPr>
                <w:b/>
              </w:rPr>
              <w:t xml:space="preserve"> </w:t>
            </w:r>
          </w:p>
          <w:p w14:paraId="501DE7EF" w14:textId="77777777" w:rsidR="008423E4" w:rsidRDefault="008423E4" w:rsidP="00D6194F"/>
          <w:p w14:paraId="26578CF9" w14:textId="48A29BAC" w:rsidR="008423E4" w:rsidRDefault="00C42DBC" w:rsidP="00D6194F">
            <w:pPr>
              <w:pStyle w:val="Header"/>
              <w:tabs>
                <w:tab w:val="clear" w:pos="4320"/>
                <w:tab w:val="clear" w:pos="8640"/>
              </w:tabs>
              <w:jc w:val="both"/>
            </w:pPr>
            <w:r w:rsidRPr="004668E7">
              <w:t xml:space="preserve">Since the unbundling of the electric market in ERCOT into distinct retail, generation, and transmission and distribution business segments, new technologies have developed. </w:t>
            </w:r>
            <w:r w:rsidR="009306B7" w:rsidRPr="009306B7">
              <w:t>The use of electric storage devices</w:t>
            </w:r>
            <w:r w:rsidR="00451143">
              <w:t>, such as batteries,</w:t>
            </w:r>
            <w:r w:rsidR="009306B7" w:rsidRPr="009306B7">
              <w:t xml:space="preserve"> has been discussed in dockets before the Public Utility Commission of Texas (PUC), power generation companies, and transmission and distribution utilities. To provide the PUC with legislative guidance regarding the ownership and deployment of battery storage devices in the uniquely structured ERCOT market, </w:t>
            </w:r>
            <w:r w:rsidR="001C0A0C">
              <w:t>S.B. 415</w:t>
            </w:r>
            <w:r w:rsidR="009306B7" w:rsidRPr="009306B7">
              <w:t xml:space="preserve"> </w:t>
            </w:r>
            <w:r w:rsidR="009306B7" w:rsidRPr="00552502">
              <w:t>seeks to</w:t>
            </w:r>
            <w:r w:rsidR="009306B7" w:rsidRPr="009306B7">
              <w:t xml:space="preserve"> set out contract guidelines that would allow for these devices to also be used for the purpose of </w:t>
            </w:r>
            <w:r w:rsidR="00451143">
              <w:t xml:space="preserve">ensuring reliable </w:t>
            </w:r>
            <w:r w:rsidR="009306B7" w:rsidRPr="009306B7">
              <w:t xml:space="preserve">transmission </w:t>
            </w:r>
            <w:r w:rsidR="00451143">
              <w:t>to customers</w:t>
            </w:r>
            <w:r w:rsidR="009306B7" w:rsidRPr="009306B7">
              <w:t>.</w:t>
            </w:r>
          </w:p>
          <w:p w14:paraId="07C7FB6F" w14:textId="77777777" w:rsidR="008423E4" w:rsidRPr="00E26B13" w:rsidRDefault="008423E4" w:rsidP="00D6194F">
            <w:pPr>
              <w:rPr>
                <w:b/>
              </w:rPr>
            </w:pPr>
          </w:p>
        </w:tc>
      </w:tr>
      <w:tr w:rsidR="007A221E" w14:paraId="12348F46" w14:textId="77777777" w:rsidTr="00302E9F">
        <w:tc>
          <w:tcPr>
            <w:tcW w:w="9360" w:type="dxa"/>
          </w:tcPr>
          <w:p w14:paraId="5759A066" w14:textId="77777777" w:rsidR="0017725B" w:rsidRDefault="00C42DBC" w:rsidP="00D6194F">
            <w:pPr>
              <w:rPr>
                <w:b/>
                <w:u w:val="single"/>
              </w:rPr>
            </w:pPr>
            <w:r>
              <w:rPr>
                <w:b/>
                <w:u w:val="single"/>
              </w:rPr>
              <w:t>CRIMINAL JUSTICE IMPACT</w:t>
            </w:r>
          </w:p>
          <w:p w14:paraId="246B4DAF" w14:textId="77777777" w:rsidR="0017725B" w:rsidRDefault="0017725B" w:rsidP="00D6194F">
            <w:pPr>
              <w:rPr>
                <w:b/>
                <w:u w:val="single"/>
              </w:rPr>
            </w:pPr>
          </w:p>
          <w:p w14:paraId="43900A3E" w14:textId="77777777" w:rsidR="00662FE6" w:rsidRPr="00662FE6" w:rsidRDefault="00C42DBC" w:rsidP="00D6194F">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14:paraId="07E5B3EF" w14:textId="77777777" w:rsidR="0017725B" w:rsidRPr="0017725B" w:rsidRDefault="0017725B" w:rsidP="00D6194F">
            <w:pPr>
              <w:rPr>
                <w:b/>
                <w:u w:val="single"/>
              </w:rPr>
            </w:pPr>
          </w:p>
        </w:tc>
      </w:tr>
      <w:tr w:rsidR="007A221E" w14:paraId="06CF5156" w14:textId="77777777" w:rsidTr="00302E9F">
        <w:tc>
          <w:tcPr>
            <w:tcW w:w="9360" w:type="dxa"/>
          </w:tcPr>
          <w:p w14:paraId="056933CB" w14:textId="77777777" w:rsidR="008423E4" w:rsidRPr="00A8133F" w:rsidRDefault="00C42DBC" w:rsidP="00D6194F">
            <w:pPr>
              <w:rPr>
                <w:b/>
              </w:rPr>
            </w:pPr>
            <w:r w:rsidRPr="009C1E9A">
              <w:rPr>
                <w:b/>
                <w:u w:val="single"/>
              </w:rPr>
              <w:t>RULEMAKING AUTHORITY</w:t>
            </w:r>
            <w:r>
              <w:rPr>
                <w:b/>
              </w:rPr>
              <w:t xml:space="preserve"> </w:t>
            </w:r>
          </w:p>
          <w:p w14:paraId="2FF4B18A" w14:textId="77777777" w:rsidR="008423E4" w:rsidRDefault="008423E4" w:rsidP="00D6194F"/>
          <w:p w14:paraId="594BB6D9" w14:textId="77777777" w:rsidR="00662FE6" w:rsidRDefault="00C42DBC" w:rsidP="00D6194F">
            <w:pPr>
              <w:pStyle w:val="Header"/>
              <w:tabs>
                <w:tab w:val="clear" w:pos="4320"/>
                <w:tab w:val="clear" w:pos="8640"/>
              </w:tabs>
              <w:jc w:val="both"/>
            </w:pPr>
            <w:r>
              <w:t>It</w:t>
            </w:r>
            <w:r>
              <w:t xml:space="preserve"> is the committee's opinion that rulemaking authority is expressly granted to the Public Utility Commission of Texas in SECTION 2 of this bill.</w:t>
            </w:r>
          </w:p>
          <w:p w14:paraId="48B29A1E" w14:textId="77777777" w:rsidR="008423E4" w:rsidRPr="00E21FDC" w:rsidRDefault="008423E4" w:rsidP="00D6194F">
            <w:pPr>
              <w:rPr>
                <w:b/>
              </w:rPr>
            </w:pPr>
          </w:p>
        </w:tc>
      </w:tr>
      <w:tr w:rsidR="007A221E" w14:paraId="12C3F1C0" w14:textId="77777777" w:rsidTr="00302E9F">
        <w:tc>
          <w:tcPr>
            <w:tcW w:w="9360" w:type="dxa"/>
          </w:tcPr>
          <w:p w14:paraId="5A6FFAF3" w14:textId="77777777" w:rsidR="008423E4" w:rsidRPr="00A8133F" w:rsidRDefault="00C42DBC" w:rsidP="00D6194F">
            <w:pPr>
              <w:rPr>
                <w:b/>
              </w:rPr>
            </w:pPr>
            <w:r w:rsidRPr="009C1E9A">
              <w:rPr>
                <w:b/>
                <w:u w:val="single"/>
              </w:rPr>
              <w:t>ANALYSIS</w:t>
            </w:r>
            <w:r>
              <w:rPr>
                <w:b/>
              </w:rPr>
              <w:t xml:space="preserve"> </w:t>
            </w:r>
          </w:p>
          <w:p w14:paraId="14FB2AA6" w14:textId="77777777" w:rsidR="008423E4" w:rsidRDefault="008423E4" w:rsidP="00D6194F"/>
          <w:p w14:paraId="0574F046" w14:textId="6DD3AB1F" w:rsidR="006C35DF" w:rsidRDefault="00C42DBC" w:rsidP="00D6194F">
            <w:pPr>
              <w:pStyle w:val="Header"/>
              <w:tabs>
                <w:tab w:val="clear" w:pos="4320"/>
                <w:tab w:val="clear" w:pos="8640"/>
              </w:tabs>
              <w:jc w:val="both"/>
            </w:pPr>
            <w:r>
              <w:t>S.B. 415</w:t>
            </w:r>
            <w:r w:rsidR="00662FE6">
              <w:t xml:space="preserve"> amends the Utilities Code to</w:t>
            </w:r>
            <w:r w:rsidR="00650BC6">
              <w:t xml:space="preserve"> </w:t>
            </w:r>
            <w:r>
              <w:t>revise the applicability of provision</w:t>
            </w:r>
            <w:r w:rsidR="00195487">
              <w:t>s</w:t>
            </w:r>
            <w:r>
              <w:t xml:space="preserve"> of the Public Utility Regulatory Act governing electric energy storage</w:t>
            </w:r>
            <w:r w:rsidR="00EC4184">
              <w:t xml:space="preserve"> by doing the following:</w:t>
            </w:r>
          </w:p>
          <w:p w14:paraId="7A6A980C" w14:textId="77777777" w:rsidR="00EC4184" w:rsidRDefault="00C42DBC" w:rsidP="00D6194F">
            <w:pPr>
              <w:pStyle w:val="Header"/>
              <w:numPr>
                <w:ilvl w:val="0"/>
                <w:numId w:val="2"/>
              </w:numPr>
              <w:jc w:val="both"/>
            </w:pPr>
            <w:r>
              <w:t>making those provisions applicable only to the ownership or operation of electric energy storage equipment or facilities in the ERCOT power region that are inte</w:t>
            </w:r>
            <w:r>
              <w:t>nded for certain purposes; and</w:t>
            </w:r>
          </w:p>
          <w:p w14:paraId="0F13A35A" w14:textId="56DEA5F9" w:rsidR="00EC4184" w:rsidRDefault="00C42DBC" w:rsidP="00D6194F">
            <w:pPr>
              <w:pStyle w:val="Header"/>
              <w:numPr>
                <w:ilvl w:val="0"/>
                <w:numId w:val="2"/>
              </w:numPr>
              <w:tabs>
                <w:tab w:val="clear" w:pos="4320"/>
                <w:tab w:val="clear" w:pos="8640"/>
              </w:tabs>
              <w:jc w:val="both"/>
            </w:pPr>
            <w:r>
              <w:t>including providing reliable delivery of electric energy to distribution customers among those purposes.</w:t>
            </w:r>
          </w:p>
          <w:p w14:paraId="648E9479" w14:textId="77777777" w:rsidR="006C35DF" w:rsidRDefault="006C35DF" w:rsidP="00D6194F">
            <w:pPr>
              <w:pStyle w:val="Header"/>
              <w:tabs>
                <w:tab w:val="clear" w:pos="4320"/>
                <w:tab w:val="clear" w:pos="8640"/>
              </w:tabs>
              <w:jc w:val="both"/>
            </w:pPr>
          </w:p>
          <w:p w14:paraId="773F2935" w14:textId="44BB2F36" w:rsidR="0030671C" w:rsidRDefault="00C42DBC" w:rsidP="00D6194F">
            <w:pPr>
              <w:pStyle w:val="Header"/>
              <w:tabs>
                <w:tab w:val="clear" w:pos="4320"/>
                <w:tab w:val="clear" w:pos="8640"/>
              </w:tabs>
              <w:jc w:val="both"/>
            </w:pPr>
            <w:r>
              <w:t>S.B. 415</w:t>
            </w:r>
            <w:r w:rsidR="00EC4184">
              <w:t xml:space="preserve"> </w:t>
            </w:r>
            <w:r w:rsidR="00650BC6">
              <w:t>authorize</w:t>
            </w:r>
            <w:r w:rsidR="00EC4184">
              <w:t>s</w:t>
            </w:r>
            <w:r w:rsidR="00650BC6">
              <w:t xml:space="preserve"> a</w:t>
            </w:r>
            <w:r w:rsidR="00650BC6" w:rsidRPr="00650BC6">
              <w:t xml:space="preserve"> transmission and distribution utility</w:t>
            </w:r>
            <w:r w:rsidR="00650BC6">
              <w:t xml:space="preserve"> that has received</w:t>
            </w:r>
            <w:r w:rsidR="00650BC6" w:rsidRPr="00650BC6">
              <w:t xml:space="preserve"> prior approval </w:t>
            </w:r>
            <w:r w:rsidR="00D45433">
              <w:t>from</w:t>
            </w:r>
            <w:r w:rsidR="00D45433" w:rsidRPr="00650BC6">
              <w:t xml:space="preserve"> </w:t>
            </w:r>
            <w:r w:rsidR="00650BC6" w:rsidRPr="00650BC6">
              <w:t xml:space="preserve">the </w:t>
            </w:r>
            <w:r w:rsidR="00650BC6">
              <w:t>Public Utility Commission of Texas (PUC) to</w:t>
            </w:r>
            <w:r w:rsidR="00650BC6" w:rsidRPr="00650BC6">
              <w:t xml:space="preserve"> contract with a power generation company to provide electric energy from an electric energy storage facility to ensure reliable service to distribution customers.</w:t>
            </w:r>
            <w:r w:rsidR="00650BC6">
              <w:t xml:space="preserve"> </w:t>
            </w:r>
            <w:r>
              <w:t>With respect to such a contract, the bill does the following:</w:t>
            </w:r>
          </w:p>
          <w:p w14:paraId="029FEB24" w14:textId="62D5CF58" w:rsidR="009C36CD" w:rsidRDefault="00C42DBC" w:rsidP="00D6194F">
            <w:pPr>
              <w:pStyle w:val="Header"/>
              <w:numPr>
                <w:ilvl w:val="0"/>
                <w:numId w:val="1"/>
              </w:numPr>
              <w:tabs>
                <w:tab w:val="clear" w:pos="4320"/>
                <w:tab w:val="clear" w:pos="8640"/>
              </w:tabs>
              <w:jc w:val="both"/>
            </w:pPr>
            <w:r>
              <w:t>requ</w:t>
            </w:r>
            <w:r>
              <w:t xml:space="preserve">ires </w:t>
            </w:r>
            <w:r w:rsidR="00650BC6" w:rsidRPr="00650BC6">
              <w:t xml:space="preserve">the utility </w:t>
            </w:r>
            <w:r>
              <w:t>to</w:t>
            </w:r>
            <w:r w:rsidR="00650BC6" w:rsidRPr="00650BC6">
              <w:t xml:space="preserve"> issue a request for proposals for use of an electric energy storage facility to meet the utility's reliability needs</w:t>
            </w:r>
            <w:r>
              <w:t xml:space="preserve"> prior to entering into a contract;</w:t>
            </w:r>
          </w:p>
          <w:p w14:paraId="0652968C" w14:textId="17983C4B" w:rsidR="0030671C" w:rsidRDefault="00C42DBC" w:rsidP="00D6194F">
            <w:pPr>
              <w:pStyle w:val="Header"/>
              <w:numPr>
                <w:ilvl w:val="0"/>
                <w:numId w:val="1"/>
              </w:numPr>
              <w:tabs>
                <w:tab w:val="clear" w:pos="4320"/>
                <w:tab w:val="clear" w:pos="8640"/>
              </w:tabs>
              <w:jc w:val="both"/>
            </w:pPr>
            <w:r>
              <w:t xml:space="preserve">conditions a utility's authority to enter into a contract on the use of the storage </w:t>
            </w:r>
            <w:r>
              <w:t>facility being more cost-effective than construction or modification of traditional distribution facilities;</w:t>
            </w:r>
          </w:p>
          <w:p w14:paraId="16620C7A" w14:textId="462C34C9" w:rsidR="0030671C" w:rsidRDefault="00C42DBC" w:rsidP="00D6194F">
            <w:pPr>
              <w:pStyle w:val="Header"/>
              <w:numPr>
                <w:ilvl w:val="0"/>
                <w:numId w:val="1"/>
              </w:numPr>
              <w:tabs>
                <w:tab w:val="clear" w:pos="4320"/>
                <w:tab w:val="clear" w:pos="8640"/>
              </w:tabs>
              <w:jc w:val="both"/>
            </w:pPr>
            <w:r>
              <w:t xml:space="preserve">prohibits the utility from </w:t>
            </w:r>
            <w:r w:rsidRPr="0030671C">
              <w:t>enter</w:t>
            </w:r>
            <w:r>
              <w:t>ing</w:t>
            </w:r>
            <w:r w:rsidRPr="0030671C">
              <w:t xml:space="preserve"> into a contract that reserves an amount of capacity exceeding the amount of capacity required to ensure </w:t>
            </w:r>
            <w:r w:rsidR="00A92945">
              <w:t>reliable service to the utility's customers</w:t>
            </w:r>
            <w:r w:rsidR="00833101">
              <w:t>;</w:t>
            </w:r>
            <w:r w:rsidR="00E616A6">
              <w:t xml:space="preserve"> and</w:t>
            </w:r>
          </w:p>
          <w:p w14:paraId="76D3D13C" w14:textId="1D9EB70C" w:rsidR="0030671C" w:rsidRDefault="00C42DBC" w:rsidP="00D6194F">
            <w:pPr>
              <w:pStyle w:val="Header"/>
              <w:numPr>
                <w:ilvl w:val="0"/>
                <w:numId w:val="1"/>
              </w:numPr>
              <w:tabs>
                <w:tab w:val="clear" w:pos="4320"/>
                <w:tab w:val="clear" w:pos="8640"/>
              </w:tabs>
              <w:jc w:val="both"/>
            </w:pPr>
            <w:r>
              <w:t xml:space="preserve">provides that the contract must </w:t>
            </w:r>
            <w:r w:rsidRPr="0030671C">
              <w:t xml:space="preserve">require </w:t>
            </w:r>
            <w:r>
              <w:t>the</w:t>
            </w:r>
            <w:r w:rsidRPr="0030671C">
              <w:t xml:space="preserve"> </w:t>
            </w:r>
            <w:r w:rsidR="00A92945">
              <w:t xml:space="preserve">power generation </w:t>
            </w:r>
            <w:r w:rsidRPr="0030671C">
              <w:t xml:space="preserve">company that owns or operates </w:t>
            </w:r>
            <w:r>
              <w:t>the</w:t>
            </w:r>
            <w:r w:rsidRPr="0030671C">
              <w:t xml:space="preserve"> storage facility to reimburse </w:t>
            </w:r>
            <w:r w:rsidR="00F36686">
              <w:t>the</w:t>
            </w:r>
            <w:r w:rsidRPr="0030671C">
              <w:t xml:space="preserve"> utility for the cost of an administrative penalty assessed against the utility for a </w:t>
            </w:r>
            <w:r w:rsidRPr="0030671C">
              <w:t>violation caused by the facility's failure to meet the requirements of the agreement</w:t>
            </w:r>
            <w:r w:rsidR="00E616A6">
              <w:t>.</w:t>
            </w:r>
          </w:p>
          <w:p w14:paraId="26EFFE25" w14:textId="1A47563B" w:rsidR="006C35DF" w:rsidRDefault="00C42DBC" w:rsidP="00D6194F">
            <w:pPr>
              <w:pStyle w:val="Header"/>
              <w:tabs>
                <w:tab w:val="clear" w:pos="4320"/>
                <w:tab w:val="clear" w:pos="8640"/>
              </w:tabs>
              <w:jc w:val="both"/>
            </w:pPr>
            <w:r>
              <w:t xml:space="preserve">The bill prohibits the PUC from </w:t>
            </w:r>
            <w:r w:rsidRPr="006C35DF">
              <w:t>authoriz</w:t>
            </w:r>
            <w:r>
              <w:t xml:space="preserve">ing ownership of a </w:t>
            </w:r>
            <w:r w:rsidRPr="006C35DF">
              <w:t>storage facility by a utility.</w:t>
            </w:r>
          </w:p>
          <w:p w14:paraId="624B6253" w14:textId="4A3DBE21" w:rsidR="00833101" w:rsidRDefault="00833101" w:rsidP="00D6194F">
            <w:pPr>
              <w:pStyle w:val="Header"/>
              <w:tabs>
                <w:tab w:val="clear" w:pos="4320"/>
                <w:tab w:val="clear" w:pos="8640"/>
              </w:tabs>
              <w:jc w:val="both"/>
            </w:pPr>
          </w:p>
          <w:p w14:paraId="3DB3CA69" w14:textId="44818CD3" w:rsidR="00833101" w:rsidRDefault="00C42DBC" w:rsidP="00D6194F">
            <w:pPr>
              <w:pStyle w:val="Header"/>
              <w:tabs>
                <w:tab w:val="clear" w:pos="4320"/>
                <w:tab w:val="clear" w:pos="8640"/>
              </w:tabs>
              <w:jc w:val="both"/>
            </w:pPr>
            <w:r>
              <w:t>S.B. 415</w:t>
            </w:r>
            <w:r>
              <w:t xml:space="preserve"> establishes that a power generation company subject to a contract with a </w:t>
            </w:r>
            <w:r w:rsidRPr="00650BC6">
              <w:t xml:space="preserve">transmission and distribution </w:t>
            </w:r>
            <w:r>
              <w:t xml:space="preserve">utility may </w:t>
            </w:r>
            <w:r w:rsidRPr="00833101">
              <w:t>sell electric energy or ancillary services through use of the</w:t>
            </w:r>
            <w:r>
              <w:t>ir electric energy storage</w:t>
            </w:r>
            <w:r w:rsidRPr="00833101">
              <w:t xml:space="preserve"> facility only to the extent that the company reserve</w:t>
            </w:r>
            <w:r w:rsidRPr="00833101">
              <w:t>s capacity as required by the contract</w:t>
            </w:r>
            <w:r>
              <w:t xml:space="preserve">. The bill prohibits the </w:t>
            </w:r>
            <w:r w:rsidR="00A92945">
              <w:t xml:space="preserve">power generation </w:t>
            </w:r>
            <w:r>
              <w:t xml:space="preserve">company from </w:t>
            </w:r>
            <w:r w:rsidRPr="00833101">
              <w:t>discharg</w:t>
            </w:r>
            <w:r>
              <w:t>ing</w:t>
            </w:r>
            <w:r w:rsidRPr="00833101">
              <w:t xml:space="preserve"> the facility to satisfy the contract's requirements unless directed by the utility</w:t>
            </w:r>
            <w:r>
              <w:t>.</w:t>
            </w:r>
          </w:p>
          <w:p w14:paraId="3AD6CA12" w14:textId="4970DC7F" w:rsidR="00CE6B11" w:rsidRDefault="00CE6B11" w:rsidP="00D6194F">
            <w:pPr>
              <w:pStyle w:val="Header"/>
              <w:tabs>
                <w:tab w:val="clear" w:pos="4320"/>
                <w:tab w:val="clear" w:pos="8640"/>
              </w:tabs>
              <w:jc w:val="both"/>
            </w:pPr>
          </w:p>
          <w:p w14:paraId="317C5D2A" w14:textId="78BC79D4" w:rsidR="00833101" w:rsidRPr="009C36CD" w:rsidRDefault="00C42DBC" w:rsidP="00D6194F">
            <w:pPr>
              <w:pStyle w:val="Header"/>
              <w:tabs>
                <w:tab w:val="clear" w:pos="4320"/>
                <w:tab w:val="clear" w:pos="8640"/>
              </w:tabs>
              <w:jc w:val="both"/>
            </w:pPr>
            <w:r>
              <w:t>S.B. 415</w:t>
            </w:r>
            <w:r w:rsidR="00CE6B11">
              <w:t xml:space="preserve"> </w:t>
            </w:r>
            <w:r w:rsidR="00983406">
              <w:t xml:space="preserve">sets out provisions relating to the consideration of a contract between a transmission and distribution utility and a power generation company in establishing </w:t>
            </w:r>
            <w:r w:rsidR="00513A34">
              <w:t xml:space="preserve">the </w:t>
            </w:r>
            <w:r w:rsidR="00983406">
              <w:t>utility</w:t>
            </w:r>
            <w:r w:rsidR="00513A34">
              <w:t>'s</w:t>
            </w:r>
            <w:r w:rsidR="00983406">
              <w:t xml:space="preserve"> rates. The bill</w:t>
            </w:r>
            <w:r>
              <w:t xml:space="preserve"> </w:t>
            </w:r>
            <w:r w:rsidR="00E616A6">
              <w:t xml:space="preserve">caps </w:t>
            </w:r>
            <w:r w:rsidR="00060149">
              <w:t xml:space="preserve">at </w:t>
            </w:r>
            <w:r w:rsidR="00C65BCD">
              <w:t>10</w:t>
            </w:r>
            <w:r w:rsidR="00060149" w:rsidRPr="00E616A6">
              <w:t>0 megawatts</w:t>
            </w:r>
            <w:r w:rsidR="00060149">
              <w:t xml:space="preserve"> </w:t>
            </w:r>
            <w:r w:rsidR="00E616A6">
              <w:t xml:space="preserve">the </w:t>
            </w:r>
            <w:r w:rsidR="00E616A6" w:rsidRPr="00E616A6">
              <w:t xml:space="preserve">total amount of electric energy storage capacity reserved by </w:t>
            </w:r>
            <w:r w:rsidR="00983406">
              <w:t xml:space="preserve">such </w:t>
            </w:r>
            <w:r w:rsidR="00E616A6" w:rsidRPr="00E616A6">
              <w:t xml:space="preserve">contracts </w:t>
            </w:r>
            <w:r w:rsidR="00E616A6">
              <w:t xml:space="preserve">and </w:t>
            </w:r>
            <w:r>
              <w:t>requires the PUC b</w:t>
            </w:r>
            <w:r>
              <w:t xml:space="preserve">y rule to establish the </w:t>
            </w:r>
            <w:r w:rsidRPr="00833101">
              <w:t>maximum amount of electric energy storage capacity allotted to each utility</w:t>
            </w:r>
            <w:r w:rsidR="00E616A6">
              <w:t>. The bill requires the PUC to adopt rules as necessary to implement the bill's provisions governing contracts for electric energy storage and establish criteria for approving such contracts.</w:t>
            </w:r>
          </w:p>
          <w:p w14:paraId="4C0C6678" w14:textId="77777777" w:rsidR="008423E4" w:rsidRPr="00835628" w:rsidRDefault="008423E4" w:rsidP="00D6194F">
            <w:pPr>
              <w:rPr>
                <w:b/>
              </w:rPr>
            </w:pPr>
          </w:p>
        </w:tc>
      </w:tr>
      <w:tr w:rsidR="007A221E" w14:paraId="56CDB079" w14:textId="77777777" w:rsidTr="00302E9F">
        <w:tc>
          <w:tcPr>
            <w:tcW w:w="9360" w:type="dxa"/>
          </w:tcPr>
          <w:p w14:paraId="021E094D" w14:textId="77777777" w:rsidR="008423E4" w:rsidRPr="00A8133F" w:rsidRDefault="00C42DBC" w:rsidP="00D6194F">
            <w:pPr>
              <w:rPr>
                <w:b/>
              </w:rPr>
            </w:pPr>
            <w:r w:rsidRPr="009C1E9A">
              <w:rPr>
                <w:b/>
                <w:u w:val="single"/>
              </w:rPr>
              <w:t>EFFECTIVE DATE</w:t>
            </w:r>
            <w:r>
              <w:rPr>
                <w:b/>
              </w:rPr>
              <w:t xml:space="preserve"> </w:t>
            </w:r>
          </w:p>
          <w:p w14:paraId="55578B70" w14:textId="77777777" w:rsidR="008423E4" w:rsidRDefault="008423E4" w:rsidP="00D6194F"/>
          <w:p w14:paraId="1A8D37EF" w14:textId="77777777" w:rsidR="008423E4" w:rsidRPr="003624F2" w:rsidRDefault="00C42DBC" w:rsidP="00D6194F">
            <w:pPr>
              <w:pStyle w:val="Header"/>
              <w:tabs>
                <w:tab w:val="clear" w:pos="4320"/>
                <w:tab w:val="clear" w:pos="8640"/>
              </w:tabs>
              <w:jc w:val="both"/>
            </w:pPr>
            <w:r>
              <w:t>September 1, 2021.</w:t>
            </w:r>
          </w:p>
          <w:p w14:paraId="36A79A0D" w14:textId="77777777" w:rsidR="008423E4" w:rsidRPr="00233FDB" w:rsidRDefault="008423E4" w:rsidP="00D6194F">
            <w:pPr>
              <w:rPr>
                <w:b/>
              </w:rPr>
            </w:pPr>
          </w:p>
        </w:tc>
      </w:tr>
      <w:tr w:rsidR="007A221E" w14:paraId="575871A5" w14:textId="77777777" w:rsidTr="00302E9F">
        <w:tc>
          <w:tcPr>
            <w:tcW w:w="9360" w:type="dxa"/>
          </w:tcPr>
          <w:p w14:paraId="1E41A4B5" w14:textId="4364C122" w:rsidR="004668E7" w:rsidRPr="00E7299A" w:rsidRDefault="004668E7" w:rsidP="00D6194F">
            <w:pPr>
              <w:jc w:val="both"/>
              <w:rPr>
                <w:b/>
                <w:u w:val="single"/>
              </w:rPr>
            </w:pPr>
          </w:p>
        </w:tc>
      </w:tr>
    </w:tbl>
    <w:p w14:paraId="2BF8044D" w14:textId="77777777" w:rsidR="008423E4" w:rsidRPr="00BE0E75" w:rsidRDefault="008423E4" w:rsidP="00D6194F">
      <w:pPr>
        <w:jc w:val="both"/>
        <w:rPr>
          <w:rFonts w:ascii="Arial" w:hAnsi="Arial"/>
          <w:sz w:val="16"/>
          <w:szCs w:val="16"/>
        </w:rPr>
      </w:pPr>
    </w:p>
    <w:p w14:paraId="64C9B87D" w14:textId="77777777" w:rsidR="004108C3" w:rsidRPr="008423E4" w:rsidRDefault="004108C3" w:rsidP="00D6194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D2B5" w14:textId="77777777" w:rsidR="00000000" w:rsidRDefault="00C42DBC">
      <w:r>
        <w:separator/>
      </w:r>
    </w:p>
  </w:endnote>
  <w:endnote w:type="continuationSeparator" w:id="0">
    <w:p w14:paraId="68D8DE82" w14:textId="77777777" w:rsidR="00000000" w:rsidRDefault="00C4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467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221E" w14:paraId="3A29301D" w14:textId="77777777" w:rsidTr="009C1E9A">
      <w:trPr>
        <w:cantSplit/>
      </w:trPr>
      <w:tc>
        <w:tcPr>
          <w:tcW w:w="0" w:type="pct"/>
        </w:tcPr>
        <w:p w14:paraId="37AE2356" w14:textId="77777777" w:rsidR="00137D90" w:rsidRDefault="00137D90" w:rsidP="009C1E9A">
          <w:pPr>
            <w:pStyle w:val="Footer"/>
            <w:tabs>
              <w:tab w:val="clear" w:pos="8640"/>
              <w:tab w:val="right" w:pos="9360"/>
            </w:tabs>
          </w:pPr>
        </w:p>
      </w:tc>
      <w:tc>
        <w:tcPr>
          <w:tcW w:w="2395" w:type="pct"/>
        </w:tcPr>
        <w:p w14:paraId="2E8E5955" w14:textId="77777777" w:rsidR="00137D90" w:rsidRDefault="00137D90" w:rsidP="009C1E9A">
          <w:pPr>
            <w:pStyle w:val="Footer"/>
            <w:tabs>
              <w:tab w:val="clear" w:pos="8640"/>
              <w:tab w:val="right" w:pos="9360"/>
            </w:tabs>
          </w:pPr>
        </w:p>
        <w:p w14:paraId="2605E979" w14:textId="77777777" w:rsidR="001A4310" w:rsidRDefault="001A4310" w:rsidP="009C1E9A">
          <w:pPr>
            <w:pStyle w:val="Footer"/>
            <w:tabs>
              <w:tab w:val="clear" w:pos="8640"/>
              <w:tab w:val="right" w:pos="9360"/>
            </w:tabs>
          </w:pPr>
        </w:p>
        <w:p w14:paraId="4BDA8765" w14:textId="77777777" w:rsidR="00137D90" w:rsidRDefault="00137D90" w:rsidP="009C1E9A">
          <w:pPr>
            <w:pStyle w:val="Footer"/>
            <w:tabs>
              <w:tab w:val="clear" w:pos="8640"/>
              <w:tab w:val="right" w:pos="9360"/>
            </w:tabs>
          </w:pPr>
        </w:p>
      </w:tc>
      <w:tc>
        <w:tcPr>
          <w:tcW w:w="2453" w:type="pct"/>
        </w:tcPr>
        <w:p w14:paraId="19890FA0" w14:textId="77777777" w:rsidR="00137D90" w:rsidRDefault="00137D90" w:rsidP="009C1E9A">
          <w:pPr>
            <w:pStyle w:val="Footer"/>
            <w:tabs>
              <w:tab w:val="clear" w:pos="8640"/>
              <w:tab w:val="right" w:pos="9360"/>
            </w:tabs>
            <w:jc w:val="right"/>
          </w:pPr>
        </w:p>
      </w:tc>
    </w:tr>
    <w:tr w:rsidR="007A221E" w14:paraId="545407CE" w14:textId="77777777" w:rsidTr="009C1E9A">
      <w:trPr>
        <w:cantSplit/>
      </w:trPr>
      <w:tc>
        <w:tcPr>
          <w:tcW w:w="0" w:type="pct"/>
        </w:tcPr>
        <w:p w14:paraId="59278AD8" w14:textId="77777777" w:rsidR="00EC379B" w:rsidRDefault="00EC379B" w:rsidP="009C1E9A">
          <w:pPr>
            <w:pStyle w:val="Footer"/>
            <w:tabs>
              <w:tab w:val="clear" w:pos="8640"/>
              <w:tab w:val="right" w:pos="9360"/>
            </w:tabs>
          </w:pPr>
        </w:p>
      </w:tc>
      <w:tc>
        <w:tcPr>
          <w:tcW w:w="2395" w:type="pct"/>
        </w:tcPr>
        <w:p w14:paraId="5D067727" w14:textId="70BD0824" w:rsidR="00EC379B" w:rsidRPr="009C1E9A" w:rsidRDefault="00C42DBC" w:rsidP="009C1E9A">
          <w:pPr>
            <w:pStyle w:val="Footer"/>
            <w:tabs>
              <w:tab w:val="clear" w:pos="8640"/>
              <w:tab w:val="right" w:pos="9360"/>
            </w:tabs>
            <w:rPr>
              <w:rFonts w:ascii="Shruti" w:hAnsi="Shruti"/>
              <w:sz w:val="22"/>
            </w:rPr>
          </w:pPr>
          <w:r>
            <w:rPr>
              <w:rFonts w:ascii="Shruti" w:hAnsi="Shruti"/>
              <w:sz w:val="22"/>
            </w:rPr>
            <w:t>87R 21885</w:t>
          </w:r>
        </w:p>
      </w:tc>
      <w:tc>
        <w:tcPr>
          <w:tcW w:w="2453" w:type="pct"/>
        </w:tcPr>
        <w:p w14:paraId="5C160894" w14:textId="06B1850B" w:rsidR="00EC379B" w:rsidRDefault="00C42DBC" w:rsidP="009C1E9A">
          <w:pPr>
            <w:pStyle w:val="Footer"/>
            <w:tabs>
              <w:tab w:val="clear" w:pos="8640"/>
              <w:tab w:val="right" w:pos="9360"/>
            </w:tabs>
            <w:jc w:val="right"/>
          </w:pPr>
          <w:r>
            <w:fldChar w:fldCharType="begin"/>
          </w:r>
          <w:r>
            <w:instrText xml:space="preserve"> DOCPROPERTY  OTID  \* MERGEFORMAT </w:instrText>
          </w:r>
          <w:r>
            <w:fldChar w:fldCharType="separate"/>
          </w:r>
          <w:r w:rsidR="003F3039">
            <w:t>21.114.96</w:t>
          </w:r>
          <w:r>
            <w:fldChar w:fldCharType="end"/>
          </w:r>
        </w:p>
      </w:tc>
    </w:tr>
    <w:tr w:rsidR="007A221E" w14:paraId="2269E63B" w14:textId="77777777" w:rsidTr="009C1E9A">
      <w:trPr>
        <w:cantSplit/>
      </w:trPr>
      <w:tc>
        <w:tcPr>
          <w:tcW w:w="0" w:type="pct"/>
        </w:tcPr>
        <w:p w14:paraId="36BC5536" w14:textId="77777777" w:rsidR="00EC379B" w:rsidRDefault="00EC379B" w:rsidP="009C1E9A">
          <w:pPr>
            <w:pStyle w:val="Footer"/>
            <w:tabs>
              <w:tab w:val="clear" w:pos="4320"/>
              <w:tab w:val="clear" w:pos="8640"/>
              <w:tab w:val="left" w:pos="2865"/>
            </w:tabs>
          </w:pPr>
        </w:p>
      </w:tc>
      <w:tc>
        <w:tcPr>
          <w:tcW w:w="2395" w:type="pct"/>
        </w:tcPr>
        <w:p w14:paraId="721DB741" w14:textId="52B7668E"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90C331E" w14:textId="77777777" w:rsidR="00EC379B" w:rsidRDefault="00EC379B" w:rsidP="006D504F">
          <w:pPr>
            <w:pStyle w:val="Footer"/>
            <w:rPr>
              <w:rStyle w:val="PageNumber"/>
            </w:rPr>
          </w:pPr>
        </w:p>
        <w:p w14:paraId="64120580" w14:textId="77777777" w:rsidR="00EC379B" w:rsidRDefault="00EC379B" w:rsidP="009C1E9A">
          <w:pPr>
            <w:pStyle w:val="Footer"/>
            <w:tabs>
              <w:tab w:val="clear" w:pos="8640"/>
              <w:tab w:val="right" w:pos="9360"/>
            </w:tabs>
            <w:jc w:val="right"/>
          </w:pPr>
        </w:p>
      </w:tc>
    </w:tr>
    <w:tr w:rsidR="007A221E" w14:paraId="2205552D" w14:textId="77777777" w:rsidTr="009C1E9A">
      <w:trPr>
        <w:cantSplit/>
        <w:trHeight w:val="323"/>
      </w:trPr>
      <w:tc>
        <w:tcPr>
          <w:tcW w:w="0" w:type="pct"/>
          <w:gridSpan w:val="3"/>
        </w:tcPr>
        <w:p w14:paraId="53B21A08" w14:textId="0A1C314B" w:rsidR="00EC379B" w:rsidRDefault="00C42D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6194F">
            <w:rPr>
              <w:rStyle w:val="PageNumber"/>
              <w:noProof/>
            </w:rPr>
            <w:t>1</w:t>
          </w:r>
          <w:r>
            <w:rPr>
              <w:rStyle w:val="PageNumber"/>
            </w:rPr>
            <w:fldChar w:fldCharType="end"/>
          </w:r>
        </w:p>
        <w:p w14:paraId="729D9260" w14:textId="77777777" w:rsidR="00EC379B" w:rsidRDefault="00EC379B" w:rsidP="009C1E9A">
          <w:pPr>
            <w:pStyle w:val="Footer"/>
            <w:tabs>
              <w:tab w:val="clear" w:pos="8640"/>
              <w:tab w:val="right" w:pos="9360"/>
            </w:tabs>
            <w:jc w:val="center"/>
          </w:pPr>
        </w:p>
      </w:tc>
    </w:tr>
  </w:tbl>
  <w:p w14:paraId="41A1733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415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0529" w14:textId="77777777" w:rsidR="00000000" w:rsidRDefault="00C42DBC">
      <w:r>
        <w:separator/>
      </w:r>
    </w:p>
  </w:footnote>
  <w:footnote w:type="continuationSeparator" w:id="0">
    <w:p w14:paraId="7CC53388" w14:textId="77777777" w:rsidR="00000000" w:rsidRDefault="00C42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C06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28E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0C4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F7EF2"/>
    <w:multiLevelType w:val="hybridMultilevel"/>
    <w:tmpl w:val="B600A0A6"/>
    <w:lvl w:ilvl="0" w:tplc="5AF6FEF0">
      <w:start w:val="1"/>
      <w:numFmt w:val="bullet"/>
      <w:lvlText w:val=""/>
      <w:lvlJc w:val="left"/>
      <w:pPr>
        <w:tabs>
          <w:tab w:val="num" w:pos="720"/>
        </w:tabs>
        <w:ind w:left="720" w:hanging="360"/>
      </w:pPr>
      <w:rPr>
        <w:rFonts w:ascii="Symbol" w:hAnsi="Symbol" w:hint="default"/>
      </w:rPr>
    </w:lvl>
    <w:lvl w:ilvl="1" w:tplc="F88011C8" w:tentative="1">
      <w:start w:val="1"/>
      <w:numFmt w:val="bullet"/>
      <w:lvlText w:val="o"/>
      <w:lvlJc w:val="left"/>
      <w:pPr>
        <w:ind w:left="1440" w:hanging="360"/>
      </w:pPr>
      <w:rPr>
        <w:rFonts w:ascii="Courier New" w:hAnsi="Courier New" w:cs="Courier New" w:hint="default"/>
      </w:rPr>
    </w:lvl>
    <w:lvl w:ilvl="2" w:tplc="905EECBA" w:tentative="1">
      <w:start w:val="1"/>
      <w:numFmt w:val="bullet"/>
      <w:lvlText w:val=""/>
      <w:lvlJc w:val="left"/>
      <w:pPr>
        <w:ind w:left="2160" w:hanging="360"/>
      </w:pPr>
      <w:rPr>
        <w:rFonts w:ascii="Wingdings" w:hAnsi="Wingdings" w:hint="default"/>
      </w:rPr>
    </w:lvl>
    <w:lvl w:ilvl="3" w:tplc="1A8EF8EE" w:tentative="1">
      <w:start w:val="1"/>
      <w:numFmt w:val="bullet"/>
      <w:lvlText w:val=""/>
      <w:lvlJc w:val="left"/>
      <w:pPr>
        <w:ind w:left="2880" w:hanging="360"/>
      </w:pPr>
      <w:rPr>
        <w:rFonts w:ascii="Symbol" w:hAnsi="Symbol" w:hint="default"/>
      </w:rPr>
    </w:lvl>
    <w:lvl w:ilvl="4" w:tplc="5FBC1A4A" w:tentative="1">
      <w:start w:val="1"/>
      <w:numFmt w:val="bullet"/>
      <w:lvlText w:val="o"/>
      <w:lvlJc w:val="left"/>
      <w:pPr>
        <w:ind w:left="3600" w:hanging="360"/>
      </w:pPr>
      <w:rPr>
        <w:rFonts w:ascii="Courier New" w:hAnsi="Courier New" w:cs="Courier New" w:hint="default"/>
      </w:rPr>
    </w:lvl>
    <w:lvl w:ilvl="5" w:tplc="FCA60154" w:tentative="1">
      <w:start w:val="1"/>
      <w:numFmt w:val="bullet"/>
      <w:lvlText w:val=""/>
      <w:lvlJc w:val="left"/>
      <w:pPr>
        <w:ind w:left="4320" w:hanging="360"/>
      </w:pPr>
      <w:rPr>
        <w:rFonts w:ascii="Wingdings" w:hAnsi="Wingdings" w:hint="default"/>
      </w:rPr>
    </w:lvl>
    <w:lvl w:ilvl="6" w:tplc="68A29986" w:tentative="1">
      <w:start w:val="1"/>
      <w:numFmt w:val="bullet"/>
      <w:lvlText w:val=""/>
      <w:lvlJc w:val="left"/>
      <w:pPr>
        <w:ind w:left="5040" w:hanging="360"/>
      </w:pPr>
      <w:rPr>
        <w:rFonts w:ascii="Symbol" w:hAnsi="Symbol" w:hint="default"/>
      </w:rPr>
    </w:lvl>
    <w:lvl w:ilvl="7" w:tplc="32CC2CFA" w:tentative="1">
      <w:start w:val="1"/>
      <w:numFmt w:val="bullet"/>
      <w:lvlText w:val="o"/>
      <w:lvlJc w:val="left"/>
      <w:pPr>
        <w:ind w:left="5760" w:hanging="360"/>
      </w:pPr>
      <w:rPr>
        <w:rFonts w:ascii="Courier New" w:hAnsi="Courier New" w:cs="Courier New" w:hint="default"/>
      </w:rPr>
    </w:lvl>
    <w:lvl w:ilvl="8" w:tplc="B6848EC2" w:tentative="1">
      <w:start w:val="1"/>
      <w:numFmt w:val="bullet"/>
      <w:lvlText w:val=""/>
      <w:lvlJc w:val="left"/>
      <w:pPr>
        <w:ind w:left="6480" w:hanging="360"/>
      </w:pPr>
      <w:rPr>
        <w:rFonts w:ascii="Wingdings" w:hAnsi="Wingdings" w:hint="default"/>
      </w:rPr>
    </w:lvl>
  </w:abstractNum>
  <w:abstractNum w:abstractNumId="1" w15:restartNumberingAfterBreak="0">
    <w:nsid w:val="64DD5169"/>
    <w:multiLevelType w:val="hybridMultilevel"/>
    <w:tmpl w:val="FD9840EA"/>
    <w:lvl w:ilvl="0" w:tplc="588A074A">
      <w:start w:val="1"/>
      <w:numFmt w:val="bullet"/>
      <w:lvlText w:val=""/>
      <w:lvlJc w:val="left"/>
      <w:pPr>
        <w:tabs>
          <w:tab w:val="num" w:pos="720"/>
        </w:tabs>
        <w:ind w:left="720" w:hanging="360"/>
      </w:pPr>
      <w:rPr>
        <w:rFonts w:ascii="Symbol" w:hAnsi="Symbol" w:hint="default"/>
      </w:rPr>
    </w:lvl>
    <w:lvl w:ilvl="1" w:tplc="1242DB0E" w:tentative="1">
      <w:start w:val="1"/>
      <w:numFmt w:val="bullet"/>
      <w:lvlText w:val="o"/>
      <w:lvlJc w:val="left"/>
      <w:pPr>
        <w:ind w:left="1440" w:hanging="360"/>
      </w:pPr>
      <w:rPr>
        <w:rFonts w:ascii="Courier New" w:hAnsi="Courier New" w:cs="Courier New" w:hint="default"/>
      </w:rPr>
    </w:lvl>
    <w:lvl w:ilvl="2" w:tplc="5ED6BBB0" w:tentative="1">
      <w:start w:val="1"/>
      <w:numFmt w:val="bullet"/>
      <w:lvlText w:val=""/>
      <w:lvlJc w:val="left"/>
      <w:pPr>
        <w:ind w:left="2160" w:hanging="360"/>
      </w:pPr>
      <w:rPr>
        <w:rFonts w:ascii="Wingdings" w:hAnsi="Wingdings" w:hint="default"/>
      </w:rPr>
    </w:lvl>
    <w:lvl w:ilvl="3" w:tplc="DD082A26" w:tentative="1">
      <w:start w:val="1"/>
      <w:numFmt w:val="bullet"/>
      <w:lvlText w:val=""/>
      <w:lvlJc w:val="left"/>
      <w:pPr>
        <w:ind w:left="2880" w:hanging="360"/>
      </w:pPr>
      <w:rPr>
        <w:rFonts w:ascii="Symbol" w:hAnsi="Symbol" w:hint="default"/>
      </w:rPr>
    </w:lvl>
    <w:lvl w:ilvl="4" w:tplc="48962A72" w:tentative="1">
      <w:start w:val="1"/>
      <w:numFmt w:val="bullet"/>
      <w:lvlText w:val="o"/>
      <w:lvlJc w:val="left"/>
      <w:pPr>
        <w:ind w:left="3600" w:hanging="360"/>
      </w:pPr>
      <w:rPr>
        <w:rFonts w:ascii="Courier New" w:hAnsi="Courier New" w:cs="Courier New" w:hint="default"/>
      </w:rPr>
    </w:lvl>
    <w:lvl w:ilvl="5" w:tplc="C9F4486C" w:tentative="1">
      <w:start w:val="1"/>
      <w:numFmt w:val="bullet"/>
      <w:lvlText w:val=""/>
      <w:lvlJc w:val="left"/>
      <w:pPr>
        <w:ind w:left="4320" w:hanging="360"/>
      </w:pPr>
      <w:rPr>
        <w:rFonts w:ascii="Wingdings" w:hAnsi="Wingdings" w:hint="default"/>
      </w:rPr>
    </w:lvl>
    <w:lvl w:ilvl="6" w:tplc="EDDCC626" w:tentative="1">
      <w:start w:val="1"/>
      <w:numFmt w:val="bullet"/>
      <w:lvlText w:val=""/>
      <w:lvlJc w:val="left"/>
      <w:pPr>
        <w:ind w:left="5040" w:hanging="360"/>
      </w:pPr>
      <w:rPr>
        <w:rFonts w:ascii="Symbol" w:hAnsi="Symbol" w:hint="default"/>
      </w:rPr>
    </w:lvl>
    <w:lvl w:ilvl="7" w:tplc="4F3049AA" w:tentative="1">
      <w:start w:val="1"/>
      <w:numFmt w:val="bullet"/>
      <w:lvlText w:val="o"/>
      <w:lvlJc w:val="left"/>
      <w:pPr>
        <w:ind w:left="5760" w:hanging="360"/>
      </w:pPr>
      <w:rPr>
        <w:rFonts w:ascii="Courier New" w:hAnsi="Courier New" w:cs="Courier New" w:hint="default"/>
      </w:rPr>
    </w:lvl>
    <w:lvl w:ilvl="8" w:tplc="910612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149"/>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3F6"/>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7A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487"/>
    <w:rsid w:val="001968BC"/>
    <w:rsid w:val="001A0739"/>
    <w:rsid w:val="001A0F00"/>
    <w:rsid w:val="001A2BDD"/>
    <w:rsid w:val="001A3DDF"/>
    <w:rsid w:val="001A4310"/>
    <w:rsid w:val="001B053A"/>
    <w:rsid w:val="001B26D8"/>
    <w:rsid w:val="001B3BFA"/>
    <w:rsid w:val="001B75B8"/>
    <w:rsid w:val="001C0A0C"/>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671"/>
    <w:rsid w:val="00247D27"/>
    <w:rsid w:val="00250A50"/>
    <w:rsid w:val="00251ED5"/>
    <w:rsid w:val="00252DAF"/>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2E9F"/>
    <w:rsid w:val="00303B0C"/>
    <w:rsid w:val="0030459C"/>
    <w:rsid w:val="0030671C"/>
    <w:rsid w:val="00313DB9"/>
    <w:rsid w:val="00313DFE"/>
    <w:rsid w:val="003143B2"/>
    <w:rsid w:val="00314821"/>
    <w:rsid w:val="0031483F"/>
    <w:rsid w:val="0031741B"/>
    <w:rsid w:val="00321337"/>
    <w:rsid w:val="00321F2F"/>
    <w:rsid w:val="003237F6"/>
    <w:rsid w:val="00324077"/>
    <w:rsid w:val="0032453B"/>
    <w:rsid w:val="00324868"/>
    <w:rsid w:val="003305F5"/>
    <w:rsid w:val="00331D3C"/>
    <w:rsid w:val="00333930"/>
    <w:rsid w:val="00336BA4"/>
    <w:rsid w:val="00336C7A"/>
    <w:rsid w:val="00337392"/>
    <w:rsid w:val="00337659"/>
    <w:rsid w:val="003427C9"/>
    <w:rsid w:val="00343A92"/>
    <w:rsid w:val="00344530"/>
    <w:rsid w:val="003446DC"/>
    <w:rsid w:val="00347B4A"/>
    <w:rsid w:val="003500C3"/>
    <w:rsid w:val="003523BD"/>
    <w:rsid w:val="00352681"/>
    <w:rsid w:val="00352698"/>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3039"/>
    <w:rsid w:val="003F77F8"/>
    <w:rsid w:val="00400ACD"/>
    <w:rsid w:val="00402284"/>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143"/>
    <w:rsid w:val="00451D7C"/>
    <w:rsid w:val="00452FC3"/>
    <w:rsid w:val="00455936"/>
    <w:rsid w:val="00455ACE"/>
    <w:rsid w:val="00461B69"/>
    <w:rsid w:val="00462B3D"/>
    <w:rsid w:val="004668E7"/>
    <w:rsid w:val="00474927"/>
    <w:rsid w:val="00475375"/>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A34"/>
    <w:rsid w:val="00515466"/>
    <w:rsid w:val="005154F7"/>
    <w:rsid w:val="005159DE"/>
    <w:rsid w:val="005269CE"/>
    <w:rsid w:val="005304B2"/>
    <w:rsid w:val="005336BD"/>
    <w:rsid w:val="00534A49"/>
    <w:rsid w:val="005363BB"/>
    <w:rsid w:val="00541B98"/>
    <w:rsid w:val="00543374"/>
    <w:rsid w:val="00545548"/>
    <w:rsid w:val="00546923"/>
    <w:rsid w:val="00551CA6"/>
    <w:rsid w:val="00552502"/>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0BC6"/>
    <w:rsid w:val="00662B77"/>
    <w:rsid w:val="00662D0E"/>
    <w:rsid w:val="00662FE6"/>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706"/>
    <w:rsid w:val="006A6068"/>
    <w:rsid w:val="006B12AE"/>
    <w:rsid w:val="006B16B3"/>
    <w:rsid w:val="006B1918"/>
    <w:rsid w:val="006B233E"/>
    <w:rsid w:val="006B23D8"/>
    <w:rsid w:val="006B28D5"/>
    <w:rsid w:val="006B2A01"/>
    <w:rsid w:val="006B2B8C"/>
    <w:rsid w:val="006B2DEB"/>
    <w:rsid w:val="006B54C5"/>
    <w:rsid w:val="006B5E80"/>
    <w:rsid w:val="006B7A2E"/>
    <w:rsid w:val="006C35DF"/>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21E"/>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3101"/>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0C8"/>
    <w:rsid w:val="00915568"/>
    <w:rsid w:val="00917E0C"/>
    <w:rsid w:val="00920711"/>
    <w:rsid w:val="00921A1E"/>
    <w:rsid w:val="00924EA9"/>
    <w:rsid w:val="00925CE1"/>
    <w:rsid w:val="00925F5C"/>
    <w:rsid w:val="009306B7"/>
    <w:rsid w:val="00930897"/>
    <w:rsid w:val="009320D2"/>
    <w:rsid w:val="00932C77"/>
    <w:rsid w:val="0093417F"/>
    <w:rsid w:val="00934AC2"/>
    <w:rsid w:val="009375BB"/>
    <w:rsid w:val="00937EDE"/>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406"/>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6BBA"/>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0B9"/>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D8B"/>
    <w:rsid w:val="00A92945"/>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170"/>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31C"/>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5B2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1566"/>
    <w:rsid w:val="00BB5B36"/>
    <w:rsid w:val="00BC027B"/>
    <w:rsid w:val="00BC30A6"/>
    <w:rsid w:val="00BC3ED3"/>
    <w:rsid w:val="00BC3EF6"/>
    <w:rsid w:val="00BC4E34"/>
    <w:rsid w:val="00BC51D0"/>
    <w:rsid w:val="00BC58E1"/>
    <w:rsid w:val="00BC59CA"/>
    <w:rsid w:val="00BC6462"/>
    <w:rsid w:val="00BC78EA"/>
    <w:rsid w:val="00BD0A32"/>
    <w:rsid w:val="00BD152D"/>
    <w:rsid w:val="00BD4E55"/>
    <w:rsid w:val="00BD513B"/>
    <w:rsid w:val="00BD5E52"/>
    <w:rsid w:val="00BD77E1"/>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DBC"/>
    <w:rsid w:val="00C46166"/>
    <w:rsid w:val="00C4710D"/>
    <w:rsid w:val="00C50CAD"/>
    <w:rsid w:val="00C57933"/>
    <w:rsid w:val="00C60206"/>
    <w:rsid w:val="00C615D4"/>
    <w:rsid w:val="00C61B5D"/>
    <w:rsid w:val="00C61C0E"/>
    <w:rsid w:val="00C61C64"/>
    <w:rsid w:val="00C61CDA"/>
    <w:rsid w:val="00C65BCD"/>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B11"/>
    <w:rsid w:val="00CF4827"/>
    <w:rsid w:val="00CF4C69"/>
    <w:rsid w:val="00CF581C"/>
    <w:rsid w:val="00CF71E0"/>
    <w:rsid w:val="00D001B1"/>
    <w:rsid w:val="00D00957"/>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433"/>
    <w:rsid w:val="00D50D65"/>
    <w:rsid w:val="00D512E0"/>
    <w:rsid w:val="00D519F3"/>
    <w:rsid w:val="00D51D2A"/>
    <w:rsid w:val="00D53B7C"/>
    <w:rsid w:val="00D55F52"/>
    <w:rsid w:val="00D56508"/>
    <w:rsid w:val="00D6131A"/>
    <w:rsid w:val="00D61611"/>
    <w:rsid w:val="00D61784"/>
    <w:rsid w:val="00D6178A"/>
    <w:rsid w:val="00D6194F"/>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376"/>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65F"/>
    <w:rsid w:val="00E61159"/>
    <w:rsid w:val="00E616A6"/>
    <w:rsid w:val="00E625DA"/>
    <w:rsid w:val="00E634DC"/>
    <w:rsid w:val="00E667F3"/>
    <w:rsid w:val="00E67794"/>
    <w:rsid w:val="00E70CC6"/>
    <w:rsid w:val="00E71254"/>
    <w:rsid w:val="00E7299A"/>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84"/>
    <w:rsid w:val="00EC41B1"/>
    <w:rsid w:val="00EC4E12"/>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688"/>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686"/>
    <w:rsid w:val="00F36FE0"/>
    <w:rsid w:val="00F37EA8"/>
    <w:rsid w:val="00F40B14"/>
    <w:rsid w:val="00F41186"/>
    <w:rsid w:val="00F41EEF"/>
    <w:rsid w:val="00F41FAC"/>
    <w:rsid w:val="00F423D3"/>
    <w:rsid w:val="00F44349"/>
    <w:rsid w:val="00F4569E"/>
    <w:rsid w:val="00F45AFC"/>
    <w:rsid w:val="00F462F4"/>
    <w:rsid w:val="00F50130"/>
    <w:rsid w:val="00F513BA"/>
    <w:rsid w:val="00F52402"/>
    <w:rsid w:val="00F537EE"/>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9ACE78-0066-40D8-94A5-EA6BD3FF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2FE6"/>
    <w:rPr>
      <w:sz w:val="16"/>
      <w:szCs w:val="16"/>
    </w:rPr>
  </w:style>
  <w:style w:type="paragraph" w:styleId="CommentText">
    <w:name w:val="annotation text"/>
    <w:basedOn w:val="Normal"/>
    <w:link w:val="CommentTextChar"/>
    <w:semiHidden/>
    <w:unhideWhenUsed/>
    <w:rsid w:val="00662FE6"/>
    <w:rPr>
      <w:sz w:val="20"/>
      <w:szCs w:val="20"/>
    </w:rPr>
  </w:style>
  <w:style w:type="character" w:customStyle="1" w:styleId="CommentTextChar">
    <w:name w:val="Comment Text Char"/>
    <w:basedOn w:val="DefaultParagraphFont"/>
    <w:link w:val="CommentText"/>
    <w:semiHidden/>
    <w:rsid w:val="00662FE6"/>
  </w:style>
  <w:style w:type="paragraph" w:styleId="CommentSubject">
    <w:name w:val="annotation subject"/>
    <w:basedOn w:val="CommentText"/>
    <w:next w:val="CommentText"/>
    <w:link w:val="CommentSubjectChar"/>
    <w:semiHidden/>
    <w:unhideWhenUsed/>
    <w:rsid w:val="00662FE6"/>
    <w:rPr>
      <w:b/>
      <w:bCs/>
    </w:rPr>
  </w:style>
  <w:style w:type="character" w:customStyle="1" w:styleId="CommentSubjectChar">
    <w:name w:val="Comment Subject Char"/>
    <w:basedOn w:val="CommentTextChar"/>
    <w:link w:val="CommentSubject"/>
    <w:semiHidden/>
    <w:rsid w:val="00662FE6"/>
    <w:rPr>
      <w:b/>
      <w:bCs/>
    </w:rPr>
  </w:style>
  <w:style w:type="paragraph" w:styleId="Revision">
    <w:name w:val="Revision"/>
    <w:hidden/>
    <w:uiPriority w:val="99"/>
    <w:semiHidden/>
    <w:rsid w:val="00DC63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3539</Characters>
  <Application>Microsoft Office Word</Application>
  <DocSecurity>4</DocSecurity>
  <Lines>81</Lines>
  <Paragraphs>25</Paragraphs>
  <ScaleCrop>false</ScaleCrop>
  <HeadingPairs>
    <vt:vector size="2" baseType="variant">
      <vt:variant>
        <vt:lpstr>Title</vt:lpstr>
      </vt:variant>
      <vt:variant>
        <vt:i4>1</vt:i4>
      </vt:variant>
    </vt:vector>
  </HeadingPairs>
  <TitlesOfParts>
    <vt:vector size="1" baseType="lpstr">
      <vt:lpstr>BA - HB01672 (Committee Report (Substituted))</vt:lpstr>
    </vt:vector>
  </TitlesOfParts>
  <Company>State of Texas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21885</dc:subject>
  <dc:creator>State of Texas</dc:creator>
  <dc:description>SB 415 by Hancock-(H)State Affairs</dc:description>
  <cp:lastModifiedBy>Stacey Nicchio</cp:lastModifiedBy>
  <cp:revision>2</cp:revision>
  <cp:lastPrinted>2003-11-26T17:21:00Z</cp:lastPrinted>
  <dcterms:created xsi:type="dcterms:W3CDTF">2021-04-30T17:17:00Z</dcterms:created>
  <dcterms:modified xsi:type="dcterms:W3CDTF">2021-04-30T17:17:00Z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21.114.96</vt:lpwstr>
  </property>
</Properties>
</file>