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7F7" w:rsidRDefault="00E917F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D9DB70F84414BE280955C7CD54261CD"/>
          </w:placeholder>
        </w:sdtPr>
        <w:sdtContent>
          <w:r w:rsidRPr="005C2A78">
            <w:rPr>
              <w:rFonts w:cs="Times New Roman"/>
              <w:b/>
              <w:szCs w:val="24"/>
              <w:u w:val="single"/>
            </w:rPr>
            <w:t>BILL ANALYSIS</w:t>
          </w:r>
        </w:sdtContent>
      </w:sdt>
    </w:p>
    <w:p w:rsidR="00E917F7" w:rsidRPr="00585C31" w:rsidRDefault="00E917F7" w:rsidP="000F1DF9">
      <w:pPr>
        <w:spacing w:after="0" w:line="240" w:lineRule="auto"/>
        <w:rPr>
          <w:rFonts w:cs="Times New Roman"/>
          <w:szCs w:val="24"/>
        </w:rPr>
      </w:pPr>
    </w:p>
    <w:p w:rsidR="00E917F7" w:rsidRPr="00585C31" w:rsidRDefault="00E917F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917F7" w:rsidTr="000F1DF9">
        <w:tc>
          <w:tcPr>
            <w:tcW w:w="2718" w:type="dxa"/>
          </w:tcPr>
          <w:p w:rsidR="00E917F7" w:rsidRPr="005C2A78" w:rsidRDefault="00E917F7" w:rsidP="006D756B">
            <w:pPr>
              <w:rPr>
                <w:rFonts w:cs="Times New Roman"/>
                <w:szCs w:val="24"/>
              </w:rPr>
            </w:pPr>
            <w:sdt>
              <w:sdtPr>
                <w:rPr>
                  <w:rFonts w:cs="Times New Roman"/>
                  <w:szCs w:val="24"/>
                </w:rPr>
                <w:alias w:val="Agency Title"/>
                <w:tag w:val="AgencyTitleContentControl"/>
                <w:id w:val="1920747753"/>
                <w:lock w:val="sdtContentLocked"/>
                <w:placeholder>
                  <w:docPart w:val="45B6C6CA70404F77B6087322FDAFE93F"/>
                </w:placeholder>
              </w:sdtPr>
              <w:sdtEndPr>
                <w:rPr>
                  <w:rFonts w:cstheme="minorBidi"/>
                  <w:szCs w:val="22"/>
                </w:rPr>
              </w:sdtEndPr>
              <w:sdtContent>
                <w:r>
                  <w:rPr>
                    <w:rFonts w:cs="Times New Roman"/>
                    <w:szCs w:val="24"/>
                  </w:rPr>
                  <w:t>Senate Research Center</w:t>
                </w:r>
              </w:sdtContent>
            </w:sdt>
          </w:p>
        </w:tc>
        <w:tc>
          <w:tcPr>
            <w:tcW w:w="6858" w:type="dxa"/>
          </w:tcPr>
          <w:p w:rsidR="00E917F7" w:rsidRPr="00FF6471" w:rsidRDefault="00E917F7" w:rsidP="000F1DF9">
            <w:pPr>
              <w:jc w:val="right"/>
              <w:rPr>
                <w:rFonts w:cs="Times New Roman"/>
                <w:szCs w:val="24"/>
              </w:rPr>
            </w:pPr>
            <w:sdt>
              <w:sdtPr>
                <w:rPr>
                  <w:rFonts w:cs="Times New Roman"/>
                  <w:szCs w:val="24"/>
                </w:rPr>
                <w:alias w:val="Bill Number"/>
                <w:tag w:val="BillNumberOne"/>
                <w:id w:val="-410784069"/>
                <w:lock w:val="sdtContentLocked"/>
                <w:placeholder>
                  <w:docPart w:val="838AB3D5D66948B79F7C8ACD4A655B41"/>
                </w:placeholder>
              </w:sdtPr>
              <w:sdtContent>
                <w:r>
                  <w:rPr>
                    <w:rFonts w:cs="Times New Roman"/>
                    <w:szCs w:val="24"/>
                  </w:rPr>
                  <w:t>S.B. 415</w:t>
                </w:r>
              </w:sdtContent>
            </w:sdt>
          </w:p>
        </w:tc>
      </w:tr>
      <w:tr w:rsidR="00E917F7" w:rsidTr="000F1DF9">
        <w:sdt>
          <w:sdtPr>
            <w:rPr>
              <w:rFonts w:cs="Times New Roman"/>
              <w:szCs w:val="24"/>
            </w:rPr>
            <w:alias w:val="TLCNumber"/>
            <w:tag w:val="TLCNumber"/>
            <w:id w:val="-542600604"/>
            <w:lock w:val="sdtLocked"/>
            <w:placeholder>
              <w:docPart w:val="2B31BC5E27554322B4FBC377D563CAAB"/>
            </w:placeholder>
          </w:sdtPr>
          <w:sdtContent>
            <w:tc>
              <w:tcPr>
                <w:tcW w:w="2718" w:type="dxa"/>
              </w:tcPr>
              <w:p w:rsidR="00E917F7" w:rsidRPr="000F1DF9" w:rsidRDefault="00E917F7" w:rsidP="00C65088">
                <w:pPr>
                  <w:rPr>
                    <w:rFonts w:cs="Times New Roman"/>
                    <w:szCs w:val="24"/>
                  </w:rPr>
                </w:pPr>
                <w:r>
                  <w:rPr>
                    <w:rFonts w:cs="Times New Roman"/>
                    <w:szCs w:val="24"/>
                  </w:rPr>
                  <w:t>87R3757 CXP-F</w:t>
                </w:r>
              </w:p>
            </w:tc>
          </w:sdtContent>
        </w:sdt>
        <w:tc>
          <w:tcPr>
            <w:tcW w:w="6858" w:type="dxa"/>
          </w:tcPr>
          <w:p w:rsidR="00E917F7" w:rsidRPr="005C2A78" w:rsidRDefault="00E917F7" w:rsidP="00073EDD">
            <w:pPr>
              <w:jc w:val="right"/>
              <w:rPr>
                <w:rFonts w:cs="Times New Roman"/>
                <w:szCs w:val="24"/>
              </w:rPr>
            </w:pPr>
            <w:sdt>
              <w:sdtPr>
                <w:rPr>
                  <w:rFonts w:cs="Times New Roman"/>
                  <w:szCs w:val="24"/>
                </w:rPr>
                <w:alias w:val="Author Label"/>
                <w:tag w:val="By"/>
                <w:id w:val="72399597"/>
                <w:lock w:val="sdtLocked"/>
                <w:placeholder>
                  <w:docPart w:val="3262B1829D244A5299690C02B0955CC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97AE67F654A4E49A6224B7C36F9CC48"/>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DB0EAC70DDED4AD6A6BEAF2121B00A34"/>
                </w:placeholder>
                <w:showingPlcHdr/>
              </w:sdtPr>
              <w:sdtContent/>
            </w:sdt>
            <w:sdt>
              <w:sdtPr>
                <w:rPr>
                  <w:rFonts w:cs="Times New Roman"/>
                  <w:szCs w:val="24"/>
                </w:rPr>
                <w:alias w:val="DualSponsor"/>
                <w:tag w:val="DualSponsor"/>
                <w:id w:val="1029379812"/>
                <w:lock w:val="sdtContentLocked"/>
                <w:placeholder>
                  <w:docPart w:val="915D688175D84060A2A20E7665A2BAAF"/>
                </w:placeholder>
                <w:showingPlcHdr/>
              </w:sdtPr>
              <w:sdtContent/>
            </w:sdt>
          </w:p>
        </w:tc>
      </w:tr>
      <w:tr w:rsidR="00E917F7" w:rsidTr="000F1DF9">
        <w:tc>
          <w:tcPr>
            <w:tcW w:w="2718" w:type="dxa"/>
          </w:tcPr>
          <w:p w:rsidR="00E917F7" w:rsidRPr="00BC7495" w:rsidRDefault="00E917F7" w:rsidP="000F1DF9">
            <w:pPr>
              <w:rPr>
                <w:rFonts w:cs="Times New Roman"/>
                <w:szCs w:val="24"/>
              </w:rPr>
            </w:pPr>
          </w:p>
        </w:tc>
        <w:sdt>
          <w:sdtPr>
            <w:rPr>
              <w:rFonts w:cs="Times New Roman"/>
              <w:szCs w:val="24"/>
            </w:rPr>
            <w:alias w:val="Committee"/>
            <w:tag w:val="Committee"/>
            <w:id w:val="1914272295"/>
            <w:lock w:val="sdtContentLocked"/>
            <w:placeholder>
              <w:docPart w:val="529121EBAAF84F1B8CD145AFAD5AFCD5"/>
            </w:placeholder>
          </w:sdtPr>
          <w:sdtContent>
            <w:tc>
              <w:tcPr>
                <w:tcW w:w="6858" w:type="dxa"/>
              </w:tcPr>
              <w:p w:rsidR="00E917F7" w:rsidRPr="00FF6471" w:rsidRDefault="00E917F7" w:rsidP="000F1DF9">
                <w:pPr>
                  <w:jc w:val="right"/>
                  <w:rPr>
                    <w:rFonts w:cs="Times New Roman"/>
                    <w:szCs w:val="24"/>
                  </w:rPr>
                </w:pPr>
                <w:r>
                  <w:rPr>
                    <w:rFonts w:cs="Times New Roman"/>
                    <w:szCs w:val="24"/>
                  </w:rPr>
                  <w:t>Business &amp; Commerce</w:t>
                </w:r>
              </w:p>
            </w:tc>
          </w:sdtContent>
        </w:sdt>
      </w:tr>
      <w:tr w:rsidR="00E917F7" w:rsidTr="000F1DF9">
        <w:tc>
          <w:tcPr>
            <w:tcW w:w="2718" w:type="dxa"/>
          </w:tcPr>
          <w:p w:rsidR="00E917F7" w:rsidRPr="00BC7495" w:rsidRDefault="00E917F7" w:rsidP="000F1DF9">
            <w:pPr>
              <w:rPr>
                <w:rFonts w:cs="Times New Roman"/>
                <w:szCs w:val="24"/>
              </w:rPr>
            </w:pPr>
          </w:p>
        </w:tc>
        <w:sdt>
          <w:sdtPr>
            <w:rPr>
              <w:rFonts w:cs="Times New Roman"/>
              <w:szCs w:val="24"/>
            </w:rPr>
            <w:alias w:val="Date"/>
            <w:tag w:val="DateContentControl"/>
            <w:id w:val="1178081906"/>
            <w:lock w:val="sdtLocked"/>
            <w:placeholder>
              <w:docPart w:val="844CF8F5694D42F8B0A4F8EBBC08EC0A"/>
            </w:placeholder>
            <w:date w:fullDate="2021-03-12T00:00:00Z">
              <w:dateFormat w:val="M/d/yyyy"/>
              <w:lid w:val="en-US"/>
              <w:storeMappedDataAs w:val="dateTime"/>
              <w:calendar w:val="gregorian"/>
            </w:date>
          </w:sdtPr>
          <w:sdtContent>
            <w:tc>
              <w:tcPr>
                <w:tcW w:w="6858" w:type="dxa"/>
              </w:tcPr>
              <w:p w:rsidR="00E917F7" w:rsidRPr="00FF6471" w:rsidRDefault="00E917F7" w:rsidP="000F1DF9">
                <w:pPr>
                  <w:jc w:val="right"/>
                  <w:rPr>
                    <w:rFonts w:cs="Times New Roman"/>
                    <w:szCs w:val="24"/>
                  </w:rPr>
                </w:pPr>
                <w:r>
                  <w:rPr>
                    <w:rFonts w:cs="Times New Roman"/>
                    <w:szCs w:val="24"/>
                  </w:rPr>
                  <w:t>3/12/2021</w:t>
                </w:r>
              </w:p>
            </w:tc>
          </w:sdtContent>
        </w:sdt>
      </w:tr>
      <w:tr w:rsidR="00E917F7" w:rsidTr="000F1DF9">
        <w:tc>
          <w:tcPr>
            <w:tcW w:w="2718" w:type="dxa"/>
          </w:tcPr>
          <w:p w:rsidR="00E917F7" w:rsidRPr="00BC7495" w:rsidRDefault="00E917F7" w:rsidP="000F1DF9">
            <w:pPr>
              <w:rPr>
                <w:rFonts w:cs="Times New Roman"/>
                <w:szCs w:val="24"/>
              </w:rPr>
            </w:pPr>
          </w:p>
        </w:tc>
        <w:sdt>
          <w:sdtPr>
            <w:rPr>
              <w:rFonts w:cs="Times New Roman"/>
              <w:szCs w:val="24"/>
            </w:rPr>
            <w:alias w:val="BA Version"/>
            <w:tag w:val="BAVersion"/>
            <w:id w:val="-1685590809"/>
            <w:lock w:val="sdtContentLocked"/>
            <w:placeholder>
              <w:docPart w:val="504B4153FF6C47E6B77D83343A5EB75B"/>
            </w:placeholder>
          </w:sdtPr>
          <w:sdtContent>
            <w:tc>
              <w:tcPr>
                <w:tcW w:w="6858" w:type="dxa"/>
              </w:tcPr>
              <w:p w:rsidR="00E917F7" w:rsidRPr="00FF6471" w:rsidRDefault="00E917F7" w:rsidP="000F1DF9">
                <w:pPr>
                  <w:jc w:val="right"/>
                  <w:rPr>
                    <w:rFonts w:cs="Times New Roman"/>
                    <w:szCs w:val="24"/>
                  </w:rPr>
                </w:pPr>
                <w:r>
                  <w:rPr>
                    <w:rFonts w:cs="Times New Roman"/>
                    <w:szCs w:val="24"/>
                  </w:rPr>
                  <w:t>As Filed</w:t>
                </w:r>
              </w:p>
            </w:tc>
          </w:sdtContent>
        </w:sdt>
      </w:tr>
    </w:tbl>
    <w:p w:rsidR="00E917F7" w:rsidRPr="00FF6471" w:rsidRDefault="00E917F7" w:rsidP="000F1DF9">
      <w:pPr>
        <w:spacing w:after="0" w:line="240" w:lineRule="auto"/>
        <w:rPr>
          <w:rFonts w:cs="Times New Roman"/>
          <w:szCs w:val="24"/>
        </w:rPr>
      </w:pPr>
    </w:p>
    <w:p w:rsidR="00E917F7" w:rsidRPr="00FF6471" w:rsidRDefault="00E917F7" w:rsidP="000F1DF9">
      <w:pPr>
        <w:spacing w:after="0" w:line="240" w:lineRule="auto"/>
        <w:rPr>
          <w:rFonts w:cs="Times New Roman"/>
          <w:szCs w:val="24"/>
        </w:rPr>
      </w:pPr>
    </w:p>
    <w:p w:rsidR="00E917F7" w:rsidRPr="00FF6471" w:rsidRDefault="00E917F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3794467F75E42ED8100C8EAFAE95F47"/>
        </w:placeholder>
      </w:sdtPr>
      <w:sdtContent>
        <w:p w:rsidR="00E917F7" w:rsidRDefault="00E917F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6A5EAB8C86347A1AEC8D1B4F944075C"/>
        </w:placeholder>
      </w:sdtPr>
      <w:sdtContent>
        <w:p w:rsidR="00E917F7" w:rsidRDefault="00E917F7" w:rsidP="00E917F7">
          <w:pPr>
            <w:pStyle w:val="NormalWeb"/>
            <w:spacing w:before="0" w:beforeAutospacing="0" w:after="0" w:afterAutospacing="0"/>
            <w:jc w:val="both"/>
            <w:divId w:val="1858469975"/>
            <w:rPr>
              <w:rFonts w:eastAsia="Times New Roman"/>
              <w:bCs/>
            </w:rPr>
          </w:pPr>
        </w:p>
        <w:p w:rsidR="00E917F7" w:rsidRDefault="00E917F7" w:rsidP="00E917F7">
          <w:pPr>
            <w:pStyle w:val="NormalWeb"/>
            <w:spacing w:before="0" w:beforeAutospacing="0" w:after="0" w:afterAutospacing="0"/>
            <w:jc w:val="both"/>
            <w:divId w:val="1858469975"/>
            <w:rPr>
              <w:color w:val="000000"/>
            </w:rPr>
          </w:pPr>
          <w:r w:rsidRPr="00317867">
            <w:rPr>
              <w:color w:val="000000"/>
            </w:rPr>
            <w:t xml:space="preserve">Since the unbundling of the electric market in ERCOT into distinct retail, generation, and transmission and distribution business segments, new technologies have developed. Generators have contended in cases before the Public Utility Commission of Texas (PUC) that </w:t>
          </w:r>
          <w:r>
            <w:rPr>
              <w:color w:val="000000"/>
            </w:rPr>
            <w:t xml:space="preserve">battery storage technology is </w:t>
          </w:r>
          <w:r w:rsidRPr="00317867">
            <w:rPr>
              <w:color w:val="000000"/>
            </w:rPr>
            <w:t>an electric generation asset and should be defined as such in statute</w:t>
          </w:r>
          <w:r>
            <w:rPr>
              <w:color w:val="000000"/>
            </w:rPr>
            <w:t>. Transmission and distribution u</w:t>
          </w:r>
          <w:r w:rsidRPr="00317867">
            <w:rPr>
              <w:color w:val="000000"/>
            </w:rPr>
            <w:t>tilities (TDUs) have contended that battery stor</w:t>
          </w:r>
          <w:r>
            <w:rPr>
              <w:color w:val="000000"/>
            </w:rPr>
            <w:t>age devices are merely a tool—</w:t>
          </w:r>
          <w:r w:rsidRPr="00317867">
            <w:rPr>
              <w:color w:val="000000"/>
            </w:rPr>
            <w:t>much like a transform</w:t>
          </w:r>
          <w:r>
            <w:rPr>
              <w:color w:val="000000"/>
            </w:rPr>
            <w:t>er or other device—</w:t>
          </w:r>
          <w:r w:rsidRPr="00317867">
            <w:rPr>
              <w:color w:val="000000"/>
            </w:rPr>
            <w:t>and should be considered a traditional transmission and distribution asset. The PUC h</w:t>
          </w:r>
          <w:r>
            <w:rPr>
              <w:color w:val="000000"/>
            </w:rPr>
            <w:t>as asked for guidance from the l</w:t>
          </w:r>
          <w:r w:rsidRPr="00317867">
            <w:rPr>
              <w:color w:val="000000"/>
            </w:rPr>
            <w:t>egislature regarding the ownership and deployment of battery storage devices in the uniquely structured ERCOT market.</w:t>
          </w:r>
        </w:p>
        <w:p w:rsidR="00E917F7" w:rsidRPr="00317867" w:rsidRDefault="00E917F7" w:rsidP="00E917F7">
          <w:pPr>
            <w:pStyle w:val="NormalWeb"/>
            <w:spacing w:before="0" w:beforeAutospacing="0" w:after="0" w:afterAutospacing="0"/>
            <w:jc w:val="both"/>
            <w:divId w:val="1858469975"/>
            <w:rPr>
              <w:color w:val="000000"/>
            </w:rPr>
          </w:pPr>
        </w:p>
        <w:p w:rsidR="00E917F7" w:rsidRDefault="00E917F7" w:rsidP="00E917F7">
          <w:pPr>
            <w:pStyle w:val="NormalWeb"/>
            <w:spacing w:before="0" w:beforeAutospacing="0" w:after="0" w:afterAutospacing="0"/>
            <w:jc w:val="both"/>
            <w:divId w:val="1858469975"/>
            <w:rPr>
              <w:color w:val="000000"/>
            </w:rPr>
          </w:pPr>
          <w:r w:rsidRPr="00317867">
            <w:rPr>
              <w:color w:val="000000"/>
            </w:rPr>
            <w:t xml:space="preserve">AEP Texas, a TDU operating in ERCOT, raised this issue to the PUC when it requested to install utility-scale batteries to address reliability issues in two sparsely populated areas in its distribution system. The </w:t>
          </w:r>
          <w:r>
            <w:rPr>
              <w:color w:val="000000"/>
            </w:rPr>
            <w:t>PUC</w:t>
          </w:r>
          <w:r w:rsidRPr="00317867">
            <w:rPr>
              <w:color w:val="000000"/>
            </w:rPr>
            <w:t xml:space="preserve"> dismissed the docket on the grounds that there was insufficient information to reach a decision. </w:t>
          </w:r>
        </w:p>
        <w:p w:rsidR="00E917F7" w:rsidRPr="00317867" w:rsidRDefault="00E917F7" w:rsidP="00E917F7">
          <w:pPr>
            <w:pStyle w:val="NormalWeb"/>
            <w:spacing w:before="0" w:beforeAutospacing="0" w:after="0" w:afterAutospacing="0"/>
            <w:jc w:val="both"/>
            <w:divId w:val="1858469975"/>
            <w:rPr>
              <w:color w:val="000000"/>
            </w:rPr>
          </w:pPr>
        </w:p>
        <w:p w:rsidR="00E917F7" w:rsidRDefault="00E917F7" w:rsidP="00E917F7">
          <w:pPr>
            <w:pStyle w:val="NormalWeb"/>
            <w:spacing w:before="0" w:beforeAutospacing="0" w:after="0" w:afterAutospacing="0"/>
            <w:jc w:val="both"/>
            <w:divId w:val="1858469975"/>
            <w:rPr>
              <w:color w:val="000000"/>
            </w:rPr>
          </w:pPr>
          <w:r w:rsidRPr="00317867">
            <w:rPr>
              <w:color w:val="000000"/>
            </w:rPr>
            <w:t xml:space="preserve">To gather additional information, the </w:t>
          </w:r>
          <w:r>
            <w:rPr>
              <w:color w:val="000000"/>
            </w:rPr>
            <w:t>PUC</w:t>
          </w:r>
          <w:r w:rsidRPr="00317867">
            <w:rPr>
              <w:color w:val="000000"/>
            </w:rPr>
            <w:t xml:space="preserve"> opened a project to evaluate more broadly the possibility of an electric utility owning and operating an energy storage device. In this project, the </w:t>
          </w:r>
          <w:r>
            <w:rPr>
              <w:color w:val="000000"/>
            </w:rPr>
            <w:t>PUC</w:t>
          </w:r>
          <w:r w:rsidRPr="00317867">
            <w:rPr>
              <w:color w:val="000000"/>
            </w:rPr>
            <w:t xml:space="preserve"> has received extensive, sharply differing commen</w:t>
          </w:r>
          <w:r>
            <w:rPr>
              <w:color w:val="000000"/>
            </w:rPr>
            <w:t>ts on whether the Utilities Code</w:t>
          </w:r>
          <w:r w:rsidRPr="00317867">
            <w:rPr>
              <w:color w:val="000000"/>
            </w:rPr>
            <w:t xml:space="preserve"> (P</w:t>
          </w:r>
          <w:r>
            <w:rPr>
              <w:color w:val="000000"/>
            </w:rPr>
            <w:t xml:space="preserve">ublic </w:t>
          </w:r>
          <w:r w:rsidRPr="00317867">
            <w:rPr>
              <w:color w:val="000000"/>
            </w:rPr>
            <w:t>U</w:t>
          </w:r>
          <w:r>
            <w:rPr>
              <w:color w:val="000000"/>
            </w:rPr>
            <w:t xml:space="preserve">tility </w:t>
          </w:r>
          <w:r w:rsidRPr="00317867">
            <w:rPr>
              <w:color w:val="000000"/>
            </w:rPr>
            <w:t>R</w:t>
          </w:r>
          <w:r>
            <w:rPr>
              <w:color w:val="000000"/>
            </w:rPr>
            <w:t xml:space="preserve">egulatory </w:t>
          </w:r>
          <w:r w:rsidRPr="00317867">
            <w:rPr>
              <w:color w:val="000000"/>
            </w:rPr>
            <w:t>A</w:t>
          </w:r>
          <w:r>
            <w:rPr>
              <w:color w:val="000000"/>
            </w:rPr>
            <w:t>ct</w:t>
          </w:r>
          <w:r w:rsidRPr="00317867">
            <w:rPr>
              <w:color w:val="000000"/>
            </w:rPr>
            <w:t xml:space="preserve">) currently allows a TDU to own or operate an energy storage device. </w:t>
          </w:r>
        </w:p>
        <w:p w:rsidR="00E917F7" w:rsidRPr="00317867" w:rsidRDefault="00E917F7" w:rsidP="00E917F7">
          <w:pPr>
            <w:pStyle w:val="NormalWeb"/>
            <w:spacing w:before="0" w:beforeAutospacing="0" w:after="0" w:afterAutospacing="0"/>
            <w:jc w:val="both"/>
            <w:divId w:val="1858469975"/>
            <w:rPr>
              <w:color w:val="000000"/>
            </w:rPr>
          </w:pPr>
        </w:p>
        <w:p w:rsidR="00E917F7" w:rsidRDefault="00E917F7" w:rsidP="00E917F7">
          <w:pPr>
            <w:pStyle w:val="NormalWeb"/>
            <w:spacing w:before="0" w:beforeAutospacing="0" w:after="0" w:afterAutospacing="0"/>
            <w:jc w:val="both"/>
            <w:divId w:val="1858469975"/>
            <w:rPr>
              <w:color w:val="000000"/>
            </w:rPr>
          </w:pPr>
          <w:r w:rsidRPr="00317867">
            <w:rPr>
              <w:color w:val="000000"/>
            </w:rPr>
            <w:t>Texas Utilities Code Section 35.152 provides that ele</w:t>
          </w:r>
          <w:r>
            <w:rPr>
              <w:color w:val="000000"/>
            </w:rPr>
            <w:t xml:space="preserve">ctric energy storage that is </w:t>
          </w:r>
          <w:r w:rsidRPr="00317867">
            <w:rPr>
              <w:color w:val="000000"/>
            </w:rPr>
            <w:t>intended to be used to sell energy or ancillary services at wholesale are generation assets, and the owner or operator is a powe</w:t>
          </w:r>
          <w:r>
            <w:rPr>
              <w:color w:val="000000"/>
            </w:rPr>
            <w:t>r generation company. However, S</w:t>
          </w:r>
          <w:r w:rsidRPr="00317867">
            <w:rPr>
              <w:color w:val="000000"/>
            </w:rPr>
            <w:t>ection 31.002(10) defines a power generation company as a person that generates electricity that is intended to be sold at wholesale, does not own a transmission and distribution facility, and does not have a certificated service area (obviously batteries do not generate power). Finally, Sect</w:t>
          </w:r>
          <w:r>
            <w:rPr>
              <w:color w:val="000000"/>
            </w:rPr>
            <w:t xml:space="preserve">ion 39.105 states that a TDU </w:t>
          </w:r>
          <w:r w:rsidRPr="00317867">
            <w:rPr>
              <w:color w:val="000000"/>
            </w:rPr>
            <w:t>may not sell electricity or otherwise participate in the market for electricity except for the purpose of buying elect</w:t>
          </w:r>
          <w:r>
            <w:rPr>
              <w:color w:val="000000"/>
            </w:rPr>
            <w:t>ricity to serve its own needs.</w:t>
          </w:r>
        </w:p>
        <w:p w:rsidR="00E917F7" w:rsidRPr="00317867" w:rsidRDefault="00E917F7" w:rsidP="00E917F7">
          <w:pPr>
            <w:pStyle w:val="NormalWeb"/>
            <w:spacing w:before="0" w:beforeAutospacing="0" w:after="0" w:afterAutospacing="0"/>
            <w:jc w:val="both"/>
            <w:divId w:val="1858469975"/>
            <w:rPr>
              <w:color w:val="000000"/>
            </w:rPr>
          </w:pPr>
        </w:p>
        <w:p w:rsidR="00E917F7" w:rsidRPr="00317867" w:rsidRDefault="00E917F7" w:rsidP="00E917F7">
          <w:pPr>
            <w:pStyle w:val="NormalWeb"/>
            <w:spacing w:before="0" w:beforeAutospacing="0" w:after="0" w:afterAutospacing="0"/>
            <w:jc w:val="both"/>
            <w:divId w:val="1858469975"/>
            <w:rPr>
              <w:color w:val="000000"/>
            </w:rPr>
          </w:pPr>
          <w:r w:rsidRPr="00317867">
            <w:rPr>
              <w:color w:val="000000"/>
            </w:rPr>
            <w:t xml:space="preserve">This bill would define energy storage devices as a generation asset, but would allow a TDU, with prior approval from the </w:t>
          </w:r>
          <w:r>
            <w:rPr>
              <w:color w:val="000000"/>
            </w:rPr>
            <w:t>PUC</w:t>
          </w:r>
          <w:r w:rsidRPr="00317867">
            <w:rPr>
              <w:color w:val="000000"/>
            </w:rPr>
            <w:t xml:space="preserve">, to enter into an agreement with a power generation company that owns an energy storage facility for reliability services in circumstances where construction of traditional distribution facilities is not cost effective. A TDU would be allowed to recover the costs of the lease agreement. </w:t>
          </w:r>
        </w:p>
        <w:p w:rsidR="00E917F7" w:rsidRPr="00D70925" w:rsidRDefault="00E917F7" w:rsidP="00E917F7">
          <w:pPr>
            <w:spacing w:after="0" w:line="240" w:lineRule="auto"/>
            <w:jc w:val="both"/>
            <w:rPr>
              <w:rFonts w:eastAsia="Times New Roman" w:cs="Times New Roman"/>
              <w:bCs/>
              <w:szCs w:val="24"/>
            </w:rPr>
          </w:pPr>
        </w:p>
      </w:sdtContent>
    </w:sdt>
    <w:p w:rsidR="00E917F7" w:rsidRDefault="00E917F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415 </w:t>
      </w:r>
      <w:bookmarkStart w:id="1" w:name="AmendsCurrentLaw"/>
      <w:bookmarkEnd w:id="1"/>
      <w:r>
        <w:rPr>
          <w:rFonts w:cs="Times New Roman"/>
          <w:szCs w:val="24"/>
        </w:rPr>
        <w:t>amends current law relating to use of electric energy storage facilities in the ERCOT power region.</w:t>
      </w:r>
    </w:p>
    <w:p w:rsidR="00E917F7" w:rsidRPr="001F1FFF" w:rsidRDefault="00E917F7" w:rsidP="000F1DF9">
      <w:pPr>
        <w:spacing w:after="0" w:line="240" w:lineRule="auto"/>
        <w:jc w:val="both"/>
        <w:rPr>
          <w:rFonts w:eastAsia="Times New Roman" w:cs="Times New Roman"/>
          <w:szCs w:val="24"/>
        </w:rPr>
      </w:pPr>
    </w:p>
    <w:p w:rsidR="00E917F7" w:rsidRPr="005C2A78" w:rsidRDefault="00E917F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B68A29089D7456690DA20999F30982B"/>
          </w:placeholder>
        </w:sdtPr>
        <w:sdtContent>
          <w:r>
            <w:rPr>
              <w:rFonts w:eastAsia="Times New Roman" w:cs="Times New Roman"/>
              <w:b/>
              <w:szCs w:val="24"/>
              <w:u w:val="single"/>
            </w:rPr>
            <w:t>RULEMAKING AUTHORITY</w:t>
          </w:r>
        </w:sdtContent>
      </w:sdt>
    </w:p>
    <w:p w:rsidR="00E917F7" w:rsidRPr="006529C4" w:rsidRDefault="00E917F7" w:rsidP="00774EC7">
      <w:pPr>
        <w:spacing w:after="0" w:line="240" w:lineRule="auto"/>
        <w:jc w:val="both"/>
        <w:rPr>
          <w:rFonts w:cs="Times New Roman"/>
          <w:szCs w:val="24"/>
        </w:rPr>
      </w:pPr>
    </w:p>
    <w:p w:rsidR="00E917F7" w:rsidRPr="006529C4" w:rsidRDefault="00E917F7" w:rsidP="00774EC7">
      <w:pPr>
        <w:spacing w:after="0" w:line="240" w:lineRule="auto"/>
        <w:jc w:val="both"/>
        <w:rPr>
          <w:rFonts w:cs="Times New Roman"/>
          <w:szCs w:val="24"/>
        </w:rPr>
      </w:pPr>
      <w:r>
        <w:rPr>
          <w:rFonts w:cs="Times New Roman"/>
          <w:szCs w:val="24"/>
        </w:rPr>
        <w:t>Rulemaking authority is expressly granted to the Public Utility Commission of Texas in SECTION 2 (Section 35.153, Utilities Code) of this bill.</w:t>
      </w:r>
    </w:p>
    <w:p w:rsidR="00E917F7" w:rsidRPr="006529C4" w:rsidRDefault="00E917F7" w:rsidP="00774EC7">
      <w:pPr>
        <w:spacing w:after="0" w:line="240" w:lineRule="auto"/>
        <w:jc w:val="both"/>
        <w:rPr>
          <w:rFonts w:cs="Times New Roman"/>
          <w:szCs w:val="24"/>
        </w:rPr>
      </w:pPr>
    </w:p>
    <w:p w:rsidR="00E917F7" w:rsidRPr="005C2A78" w:rsidRDefault="00E917F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B10BE99CF444EFCAE1AE68DF4347BE2"/>
          </w:placeholder>
        </w:sdtPr>
        <w:sdtContent>
          <w:r>
            <w:rPr>
              <w:rFonts w:eastAsia="Times New Roman" w:cs="Times New Roman"/>
              <w:b/>
              <w:szCs w:val="24"/>
              <w:u w:val="single"/>
            </w:rPr>
            <w:t>SECTION BY SECTION ANALYSIS</w:t>
          </w:r>
        </w:sdtContent>
      </w:sdt>
    </w:p>
    <w:p w:rsidR="00E917F7" w:rsidRPr="005C2A78" w:rsidRDefault="00E917F7" w:rsidP="00854028">
      <w:pPr>
        <w:spacing w:after="0" w:line="240" w:lineRule="auto"/>
        <w:jc w:val="both"/>
        <w:rPr>
          <w:rFonts w:eastAsia="Times New Roman" w:cs="Times New Roman"/>
          <w:szCs w:val="24"/>
        </w:rPr>
      </w:pPr>
    </w:p>
    <w:p w:rsidR="00E917F7" w:rsidRDefault="00E917F7" w:rsidP="0085402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1F1FFF">
        <w:rPr>
          <w:rFonts w:eastAsia="Times New Roman" w:cs="Times New Roman"/>
          <w:szCs w:val="24"/>
        </w:rPr>
        <w:t>Section 35.151, Utilities Code, as follows:</w:t>
      </w:r>
    </w:p>
    <w:p w:rsidR="00E917F7" w:rsidRDefault="00E917F7" w:rsidP="00854028">
      <w:pPr>
        <w:spacing w:after="0" w:line="240" w:lineRule="auto"/>
        <w:jc w:val="both"/>
        <w:rPr>
          <w:rFonts w:eastAsia="Times New Roman" w:cs="Times New Roman"/>
          <w:szCs w:val="24"/>
        </w:rPr>
      </w:pPr>
    </w:p>
    <w:p w:rsidR="00E917F7" w:rsidRPr="001F1FFF" w:rsidRDefault="00E917F7" w:rsidP="00854028">
      <w:pPr>
        <w:spacing w:after="0" w:line="240" w:lineRule="auto"/>
        <w:ind w:left="720"/>
        <w:jc w:val="both"/>
        <w:rPr>
          <w:rFonts w:eastAsia="Times New Roman" w:cs="Times New Roman"/>
          <w:szCs w:val="24"/>
        </w:rPr>
      </w:pPr>
      <w:r w:rsidRPr="001F1FFF">
        <w:rPr>
          <w:rFonts w:eastAsia="Times New Roman" w:cs="Times New Roman"/>
          <w:szCs w:val="24"/>
        </w:rPr>
        <w:t xml:space="preserve">Sec. 35.151.  ELECTRIC ENERGY STORAGE. </w:t>
      </w:r>
      <w:r>
        <w:rPr>
          <w:rFonts w:eastAsia="Times New Roman" w:cs="Times New Roman"/>
          <w:szCs w:val="24"/>
        </w:rPr>
        <w:t>Provides that S</w:t>
      </w:r>
      <w:r w:rsidRPr="001F1FFF">
        <w:rPr>
          <w:rFonts w:eastAsia="Times New Roman" w:cs="Times New Roman"/>
          <w:szCs w:val="24"/>
        </w:rPr>
        <w:t>ubchapter</w:t>
      </w:r>
      <w:r>
        <w:rPr>
          <w:rFonts w:eastAsia="Times New Roman" w:cs="Times New Roman"/>
          <w:szCs w:val="24"/>
        </w:rPr>
        <w:t xml:space="preserve"> E (Electric Energy Storage)</w:t>
      </w:r>
      <w:r w:rsidRPr="001F1FFF">
        <w:rPr>
          <w:rFonts w:eastAsia="Times New Roman" w:cs="Times New Roman"/>
          <w:szCs w:val="24"/>
        </w:rPr>
        <w:t xml:space="preserve"> applies only to the ownership or operation of electric energy storage equipment or facilities in the ERCOT power region that are intended to:</w:t>
      </w:r>
    </w:p>
    <w:p w:rsidR="00E917F7" w:rsidRPr="001F1FFF" w:rsidRDefault="00E917F7" w:rsidP="00854028">
      <w:pPr>
        <w:spacing w:after="0" w:line="240" w:lineRule="auto"/>
        <w:jc w:val="both"/>
        <w:rPr>
          <w:rFonts w:eastAsia="Times New Roman" w:cs="Times New Roman"/>
          <w:szCs w:val="24"/>
        </w:rPr>
      </w:pPr>
    </w:p>
    <w:p w:rsidR="00E917F7" w:rsidRPr="001F1FFF" w:rsidRDefault="00E917F7" w:rsidP="00854028">
      <w:pPr>
        <w:spacing w:after="0" w:line="240" w:lineRule="auto"/>
        <w:ind w:left="1440"/>
        <w:jc w:val="both"/>
        <w:rPr>
          <w:rFonts w:eastAsia="Times New Roman" w:cs="Times New Roman"/>
          <w:szCs w:val="24"/>
        </w:rPr>
      </w:pPr>
      <w:r w:rsidRPr="001F1FFF">
        <w:rPr>
          <w:rFonts w:eastAsia="Times New Roman" w:cs="Times New Roman"/>
          <w:szCs w:val="24"/>
        </w:rPr>
        <w:t xml:space="preserve">(1)    </w:t>
      </w:r>
      <w:r>
        <w:rPr>
          <w:rFonts w:eastAsia="Times New Roman" w:cs="Times New Roman"/>
          <w:szCs w:val="24"/>
        </w:rPr>
        <w:t>creates this subsection from existing text and makes nonsubstantive changes</w:t>
      </w:r>
      <w:r w:rsidRPr="001F1FFF">
        <w:rPr>
          <w:rFonts w:eastAsia="Times New Roman" w:cs="Times New Roman"/>
          <w:szCs w:val="24"/>
        </w:rPr>
        <w:t>; or</w:t>
      </w:r>
    </w:p>
    <w:p w:rsidR="00E917F7" w:rsidRPr="001F1FFF" w:rsidRDefault="00E917F7" w:rsidP="00854028">
      <w:pPr>
        <w:spacing w:after="0" w:line="240" w:lineRule="auto"/>
        <w:ind w:left="1440"/>
        <w:jc w:val="both"/>
        <w:rPr>
          <w:rFonts w:eastAsia="Times New Roman" w:cs="Times New Roman"/>
          <w:szCs w:val="24"/>
        </w:rPr>
      </w:pPr>
    </w:p>
    <w:p w:rsidR="00E917F7" w:rsidRPr="005C2A78" w:rsidRDefault="00E917F7" w:rsidP="00854028">
      <w:pPr>
        <w:spacing w:after="0" w:line="240" w:lineRule="auto"/>
        <w:ind w:left="1440"/>
        <w:jc w:val="both"/>
        <w:rPr>
          <w:rFonts w:eastAsia="Times New Roman" w:cs="Times New Roman"/>
          <w:szCs w:val="24"/>
        </w:rPr>
      </w:pPr>
      <w:r w:rsidRPr="001F1FFF">
        <w:rPr>
          <w:rFonts w:eastAsia="Times New Roman" w:cs="Times New Roman"/>
          <w:szCs w:val="24"/>
        </w:rPr>
        <w:t>(2)  provide reliable delivery of electric energy to distribution customers.</w:t>
      </w:r>
    </w:p>
    <w:p w:rsidR="00E917F7" w:rsidRPr="005C2A78" w:rsidRDefault="00E917F7" w:rsidP="00854028">
      <w:pPr>
        <w:spacing w:after="0" w:line="240" w:lineRule="auto"/>
        <w:jc w:val="both"/>
        <w:rPr>
          <w:rFonts w:eastAsia="Times New Roman" w:cs="Times New Roman"/>
          <w:szCs w:val="24"/>
        </w:rPr>
      </w:pPr>
    </w:p>
    <w:p w:rsidR="00E917F7" w:rsidRDefault="00E917F7" w:rsidP="0085402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1F1FFF">
        <w:rPr>
          <w:rFonts w:eastAsia="Times New Roman" w:cs="Times New Roman"/>
          <w:szCs w:val="24"/>
        </w:rPr>
        <w:t>Subchapter E, Chapter 35, Utilities Code, by adding Section 35.153</w:t>
      </w:r>
      <w:r>
        <w:rPr>
          <w:rFonts w:eastAsia="Times New Roman" w:cs="Times New Roman"/>
          <w:szCs w:val="24"/>
        </w:rPr>
        <w:t>,</w:t>
      </w:r>
      <w:r w:rsidRPr="001F1FFF">
        <w:rPr>
          <w:rFonts w:eastAsia="Times New Roman" w:cs="Times New Roman"/>
          <w:szCs w:val="24"/>
        </w:rPr>
        <w:t xml:space="preserve"> as follows:</w:t>
      </w:r>
    </w:p>
    <w:p w:rsidR="00E917F7" w:rsidRDefault="00E917F7" w:rsidP="00854028">
      <w:pPr>
        <w:spacing w:after="0" w:line="240" w:lineRule="auto"/>
        <w:jc w:val="both"/>
        <w:rPr>
          <w:rFonts w:eastAsia="Times New Roman" w:cs="Times New Roman"/>
          <w:szCs w:val="24"/>
        </w:rPr>
      </w:pPr>
    </w:p>
    <w:p w:rsidR="00E917F7" w:rsidRDefault="00E917F7" w:rsidP="00854028">
      <w:pPr>
        <w:spacing w:after="0" w:line="240" w:lineRule="auto"/>
        <w:ind w:left="720"/>
        <w:jc w:val="both"/>
        <w:rPr>
          <w:rFonts w:eastAsia="Times New Roman" w:cs="Times New Roman"/>
          <w:szCs w:val="24"/>
        </w:rPr>
      </w:pPr>
      <w:r w:rsidRPr="001F1FFF">
        <w:rPr>
          <w:rFonts w:eastAsia="Times New Roman" w:cs="Times New Roman"/>
          <w:szCs w:val="24"/>
        </w:rPr>
        <w:t>Sec. 35.153.  CONTRACTS FOR ELECTRIC ENERGY STORAGE FOR RELIABILITY SERVICES. (a) A</w:t>
      </w:r>
      <w:r>
        <w:rPr>
          <w:rFonts w:eastAsia="Times New Roman" w:cs="Times New Roman"/>
          <w:szCs w:val="24"/>
        </w:rPr>
        <w:t>uthorizes a</w:t>
      </w:r>
      <w:r w:rsidRPr="001F1FFF">
        <w:rPr>
          <w:rFonts w:eastAsia="Times New Roman" w:cs="Times New Roman"/>
          <w:szCs w:val="24"/>
        </w:rPr>
        <w:t xml:space="preserve"> transmission and distribution utility, with prior approval of</w:t>
      </w:r>
      <w:r>
        <w:rPr>
          <w:rFonts w:eastAsia="Times New Roman" w:cs="Times New Roman"/>
          <w:szCs w:val="24"/>
        </w:rPr>
        <w:t xml:space="preserve"> the Public Utility Commission of Texas (PUC)</w:t>
      </w:r>
      <w:r w:rsidRPr="001F1FFF">
        <w:rPr>
          <w:rFonts w:eastAsia="Times New Roman" w:cs="Times New Roman"/>
          <w:szCs w:val="24"/>
        </w:rPr>
        <w:t xml:space="preserve">, </w:t>
      </w:r>
      <w:r>
        <w:rPr>
          <w:rFonts w:eastAsia="Times New Roman" w:cs="Times New Roman"/>
          <w:szCs w:val="24"/>
        </w:rPr>
        <w:t>to</w:t>
      </w:r>
      <w:r w:rsidRPr="001F1FFF">
        <w:rPr>
          <w:rFonts w:eastAsia="Times New Roman" w:cs="Times New Roman"/>
          <w:szCs w:val="24"/>
        </w:rPr>
        <w:t xml:space="preserve"> contract with a power generation company to provide electric energy from an electric energy storage facility to ensure reliable service to distribution customers.</w:t>
      </w:r>
    </w:p>
    <w:p w:rsidR="00E917F7" w:rsidRDefault="00E917F7" w:rsidP="00854028">
      <w:pPr>
        <w:spacing w:after="0" w:line="240" w:lineRule="auto"/>
        <w:ind w:left="720"/>
        <w:jc w:val="both"/>
        <w:rPr>
          <w:rFonts w:eastAsia="Times New Roman" w:cs="Times New Roman"/>
          <w:szCs w:val="24"/>
        </w:rPr>
      </w:pPr>
    </w:p>
    <w:p w:rsidR="00E917F7" w:rsidRDefault="00E917F7" w:rsidP="00854028">
      <w:pPr>
        <w:spacing w:after="0" w:line="240" w:lineRule="auto"/>
        <w:ind w:left="1440"/>
        <w:jc w:val="both"/>
        <w:rPr>
          <w:rFonts w:eastAsia="Times New Roman" w:cs="Times New Roman"/>
          <w:szCs w:val="24"/>
        </w:rPr>
      </w:pPr>
      <w:r>
        <w:rPr>
          <w:rFonts w:eastAsia="Times New Roman" w:cs="Times New Roman"/>
          <w:szCs w:val="24"/>
        </w:rPr>
        <w:t>(b)</w:t>
      </w:r>
      <w:r w:rsidRPr="001F1FFF">
        <w:rPr>
          <w:rFonts w:eastAsia="Times New Roman" w:cs="Times New Roman"/>
          <w:szCs w:val="24"/>
        </w:rPr>
        <w:t xml:space="preserve"> </w:t>
      </w:r>
      <w:r>
        <w:rPr>
          <w:rFonts w:eastAsia="Times New Roman" w:cs="Times New Roman"/>
          <w:szCs w:val="24"/>
        </w:rPr>
        <w:t>Prohibits the PUC from authorizing</w:t>
      </w:r>
      <w:r w:rsidRPr="001F1FFF">
        <w:rPr>
          <w:rFonts w:eastAsia="Times New Roman" w:cs="Times New Roman"/>
          <w:szCs w:val="24"/>
        </w:rPr>
        <w:t xml:space="preserve"> ownership of an electric energy storage facility by a transmission and distribution utility.</w:t>
      </w:r>
    </w:p>
    <w:p w:rsidR="00E917F7" w:rsidRDefault="00E917F7" w:rsidP="00854028">
      <w:pPr>
        <w:spacing w:after="0" w:line="240" w:lineRule="auto"/>
        <w:ind w:left="1440"/>
        <w:jc w:val="both"/>
        <w:rPr>
          <w:rFonts w:eastAsia="Times New Roman" w:cs="Times New Roman"/>
          <w:szCs w:val="24"/>
        </w:rPr>
      </w:pPr>
    </w:p>
    <w:p w:rsidR="00E917F7" w:rsidRDefault="00E917F7" w:rsidP="00854028">
      <w:pPr>
        <w:spacing w:after="0" w:line="240" w:lineRule="auto"/>
        <w:ind w:left="1440"/>
        <w:jc w:val="both"/>
        <w:rPr>
          <w:rFonts w:eastAsia="Times New Roman" w:cs="Times New Roman"/>
          <w:szCs w:val="24"/>
        </w:rPr>
      </w:pPr>
      <w:r>
        <w:rPr>
          <w:rFonts w:eastAsia="Times New Roman" w:cs="Times New Roman"/>
          <w:szCs w:val="24"/>
        </w:rPr>
        <w:t xml:space="preserve">(c) Requires </w:t>
      </w:r>
      <w:r w:rsidRPr="001F1FFF">
        <w:rPr>
          <w:rFonts w:eastAsia="Times New Roman" w:cs="Times New Roman"/>
          <w:szCs w:val="24"/>
        </w:rPr>
        <w:t>the transmission and distribution utility</w:t>
      </w:r>
      <w:r>
        <w:rPr>
          <w:rFonts w:eastAsia="Times New Roman" w:cs="Times New Roman"/>
          <w:szCs w:val="24"/>
        </w:rPr>
        <w:t>,</w:t>
      </w:r>
      <w:r w:rsidRPr="001F1FFF">
        <w:rPr>
          <w:rFonts w:eastAsia="Times New Roman" w:cs="Times New Roman"/>
          <w:szCs w:val="24"/>
        </w:rPr>
        <w:t xml:space="preserve"> </w:t>
      </w:r>
      <w:r>
        <w:rPr>
          <w:rFonts w:eastAsia="Times New Roman" w:cs="Times New Roman"/>
          <w:szCs w:val="24"/>
        </w:rPr>
        <w:t>b</w:t>
      </w:r>
      <w:r w:rsidRPr="001F1FFF">
        <w:rPr>
          <w:rFonts w:eastAsia="Times New Roman" w:cs="Times New Roman"/>
          <w:szCs w:val="24"/>
        </w:rPr>
        <w:t xml:space="preserve">efore entering into a contract under Subsection (a), </w:t>
      </w:r>
      <w:r>
        <w:rPr>
          <w:rFonts w:eastAsia="Times New Roman" w:cs="Times New Roman"/>
          <w:szCs w:val="24"/>
        </w:rPr>
        <w:t>to</w:t>
      </w:r>
      <w:r w:rsidRPr="001F1FFF">
        <w:rPr>
          <w:rFonts w:eastAsia="Times New Roman" w:cs="Times New Roman"/>
          <w:szCs w:val="24"/>
        </w:rPr>
        <w:t xml:space="preserve"> issue a request for proposals for use of an electric energy storage facility to meet the utility's reliability needs.</w:t>
      </w:r>
    </w:p>
    <w:p w:rsidR="00E917F7" w:rsidRDefault="00E917F7" w:rsidP="00854028">
      <w:pPr>
        <w:spacing w:after="0" w:line="240" w:lineRule="auto"/>
        <w:ind w:left="1440"/>
        <w:jc w:val="both"/>
        <w:rPr>
          <w:rFonts w:eastAsia="Times New Roman" w:cs="Times New Roman"/>
          <w:szCs w:val="24"/>
        </w:rPr>
      </w:pPr>
    </w:p>
    <w:p w:rsidR="00E917F7" w:rsidRDefault="00E917F7" w:rsidP="00854028">
      <w:pPr>
        <w:spacing w:after="0" w:line="240" w:lineRule="auto"/>
        <w:ind w:left="1440"/>
        <w:jc w:val="both"/>
        <w:rPr>
          <w:rFonts w:eastAsia="Times New Roman" w:cs="Times New Roman"/>
          <w:szCs w:val="24"/>
        </w:rPr>
      </w:pPr>
      <w:r>
        <w:rPr>
          <w:rFonts w:eastAsia="Times New Roman" w:cs="Times New Roman"/>
          <w:szCs w:val="24"/>
        </w:rPr>
        <w:t>(d)</w:t>
      </w:r>
      <w:r w:rsidRPr="001F1FFF">
        <w:rPr>
          <w:rFonts w:eastAsia="Times New Roman" w:cs="Times New Roman"/>
          <w:szCs w:val="24"/>
        </w:rPr>
        <w:t xml:space="preserve"> A</w:t>
      </w:r>
      <w:r>
        <w:rPr>
          <w:rFonts w:eastAsia="Times New Roman" w:cs="Times New Roman"/>
          <w:szCs w:val="24"/>
        </w:rPr>
        <w:t>uthorizes a</w:t>
      </w:r>
      <w:r w:rsidRPr="001F1FFF">
        <w:rPr>
          <w:rFonts w:eastAsia="Times New Roman" w:cs="Times New Roman"/>
          <w:szCs w:val="24"/>
        </w:rPr>
        <w:t xml:space="preserve"> transmission and distribution utility </w:t>
      </w:r>
      <w:r>
        <w:rPr>
          <w:rFonts w:eastAsia="Times New Roman" w:cs="Times New Roman"/>
          <w:szCs w:val="24"/>
        </w:rPr>
        <w:t xml:space="preserve">to </w:t>
      </w:r>
      <w:r w:rsidRPr="001F1FFF">
        <w:rPr>
          <w:rFonts w:eastAsia="Times New Roman" w:cs="Times New Roman"/>
          <w:szCs w:val="24"/>
        </w:rPr>
        <w:t>enter into a contract under Subsection (a) only if use of an electric energy storage facility is more cost-effective than construction or modification of traditional distribution facilities.</w:t>
      </w:r>
    </w:p>
    <w:p w:rsidR="00E917F7" w:rsidRDefault="00E917F7" w:rsidP="00854028">
      <w:pPr>
        <w:spacing w:after="0" w:line="240" w:lineRule="auto"/>
        <w:ind w:left="1440"/>
        <w:jc w:val="both"/>
        <w:rPr>
          <w:rFonts w:eastAsia="Times New Roman" w:cs="Times New Roman"/>
          <w:szCs w:val="24"/>
        </w:rPr>
      </w:pPr>
    </w:p>
    <w:p w:rsidR="00E917F7" w:rsidRDefault="00E917F7" w:rsidP="00854028">
      <w:pPr>
        <w:spacing w:after="0" w:line="240" w:lineRule="auto"/>
        <w:ind w:left="1440"/>
        <w:jc w:val="both"/>
        <w:rPr>
          <w:rFonts w:eastAsia="Times New Roman" w:cs="Times New Roman"/>
          <w:szCs w:val="24"/>
        </w:rPr>
      </w:pPr>
      <w:r>
        <w:rPr>
          <w:rFonts w:eastAsia="Times New Roman" w:cs="Times New Roman"/>
          <w:szCs w:val="24"/>
        </w:rPr>
        <w:t>(e) Prohibits a</w:t>
      </w:r>
      <w:r w:rsidRPr="001F1FFF">
        <w:rPr>
          <w:rFonts w:eastAsia="Times New Roman" w:cs="Times New Roman"/>
          <w:szCs w:val="24"/>
        </w:rPr>
        <w:t xml:space="preserve"> transmission and distribution utility </w:t>
      </w:r>
      <w:r>
        <w:rPr>
          <w:rFonts w:eastAsia="Times New Roman" w:cs="Times New Roman"/>
          <w:szCs w:val="24"/>
        </w:rPr>
        <w:t>from entering</w:t>
      </w:r>
      <w:r w:rsidRPr="001F1FFF">
        <w:rPr>
          <w:rFonts w:eastAsia="Times New Roman" w:cs="Times New Roman"/>
          <w:szCs w:val="24"/>
        </w:rPr>
        <w:t xml:space="preserve"> into a contract under Subsection (a) that reserves an amount of capacity exceeding the amount of capacity required to ensure reliable service to the utility's distribution customers.</w:t>
      </w:r>
    </w:p>
    <w:p w:rsidR="00E917F7" w:rsidRDefault="00E917F7" w:rsidP="00854028">
      <w:pPr>
        <w:spacing w:after="0" w:line="240" w:lineRule="auto"/>
        <w:ind w:left="1440"/>
        <w:jc w:val="both"/>
        <w:rPr>
          <w:rFonts w:eastAsia="Times New Roman" w:cs="Times New Roman"/>
          <w:szCs w:val="24"/>
        </w:rPr>
      </w:pPr>
    </w:p>
    <w:p w:rsidR="00E917F7" w:rsidRPr="001F1FFF" w:rsidRDefault="00E917F7" w:rsidP="00854028">
      <w:pPr>
        <w:spacing w:after="0" w:line="240" w:lineRule="auto"/>
        <w:ind w:left="1440"/>
        <w:jc w:val="both"/>
        <w:rPr>
          <w:rFonts w:eastAsia="Times New Roman" w:cs="Times New Roman"/>
          <w:szCs w:val="24"/>
        </w:rPr>
      </w:pPr>
      <w:r>
        <w:rPr>
          <w:rFonts w:eastAsia="Times New Roman" w:cs="Times New Roman"/>
          <w:szCs w:val="24"/>
        </w:rPr>
        <w:t xml:space="preserve">(f) </w:t>
      </w:r>
      <w:r w:rsidRPr="001F1FFF">
        <w:rPr>
          <w:rFonts w:eastAsia="Times New Roman" w:cs="Times New Roman"/>
          <w:szCs w:val="24"/>
        </w:rPr>
        <w:t>A</w:t>
      </w:r>
      <w:r>
        <w:rPr>
          <w:rFonts w:eastAsia="Times New Roman" w:cs="Times New Roman"/>
          <w:szCs w:val="24"/>
        </w:rPr>
        <w:t>uthorizes a</w:t>
      </w:r>
      <w:r w:rsidRPr="001F1FFF">
        <w:rPr>
          <w:rFonts w:eastAsia="Times New Roman" w:cs="Times New Roman"/>
          <w:szCs w:val="24"/>
        </w:rPr>
        <w:t xml:space="preserve"> power generation company that owns or operates an electric energy storage facility subject to a contract under Subsection (a) </w:t>
      </w:r>
      <w:r>
        <w:rPr>
          <w:rFonts w:eastAsia="Times New Roman" w:cs="Times New Roman"/>
          <w:szCs w:val="24"/>
        </w:rPr>
        <w:t>to</w:t>
      </w:r>
      <w:r w:rsidRPr="001F1FFF">
        <w:rPr>
          <w:rFonts w:eastAsia="Times New Roman" w:cs="Times New Roman"/>
          <w:szCs w:val="24"/>
        </w:rPr>
        <w:t xml:space="preserve"> sell electric energy or ancillary services through use of the facility only to the extent that the company reserves capacity as required by the contract.</w:t>
      </w:r>
    </w:p>
    <w:p w:rsidR="00E917F7" w:rsidRPr="001F1FFF" w:rsidRDefault="00E917F7" w:rsidP="00854028">
      <w:pPr>
        <w:spacing w:after="0" w:line="240" w:lineRule="auto"/>
        <w:ind w:left="1440"/>
        <w:jc w:val="both"/>
        <w:rPr>
          <w:rFonts w:eastAsia="Times New Roman" w:cs="Times New Roman"/>
          <w:szCs w:val="24"/>
        </w:rPr>
      </w:pPr>
    </w:p>
    <w:p w:rsidR="00E917F7" w:rsidRPr="001F1FFF" w:rsidRDefault="00E917F7" w:rsidP="00854028">
      <w:pPr>
        <w:spacing w:after="0" w:line="240" w:lineRule="auto"/>
        <w:ind w:left="1440"/>
        <w:jc w:val="both"/>
        <w:rPr>
          <w:rFonts w:eastAsia="Times New Roman" w:cs="Times New Roman"/>
          <w:szCs w:val="24"/>
        </w:rPr>
      </w:pPr>
      <w:r>
        <w:rPr>
          <w:rFonts w:eastAsia="Times New Roman" w:cs="Times New Roman"/>
          <w:szCs w:val="24"/>
        </w:rPr>
        <w:t>(g) Prohibits a</w:t>
      </w:r>
      <w:r w:rsidRPr="001F1FFF">
        <w:rPr>
          <w:rFonts w:eastAsia="Times New Roman" w:cs="Times New Roman"/>
          <w:szCs w:val="24"/>
        </w:rPr>
        <w:t xml:space="preserve"> power generation company that owns or operates an electric energy storage facility subject to a contract under Subsection (a) </w:t>
      </w:r>
      <w:r>
        <w:rPr>
          <w:rFonts w:eastAsia="Times New Roman" w:cs="Times New Roman"/>
          <w:szCs w:val="24"/>
        </w:rPr>
        <w:t>from discharging</w:t>
      </w:r>
      <w:r w:rsidRPr="001F1FFF">
        <w:rPr>
          <w:rFonts w:eastAsia="Times New Roman" w:cs="Times New Roman"/>
          <w:szCs w:val="24"/>
        </w:rPr>
        <w:t xml:space="preserve"> the facility to satisfy the contract's requirements unless directed by the transmission and distribution utility.</w:t>
      </w:r>
    </w:p>
    <w:p w:rsidR="00E917F7" w:rsidRPr="001F1FFF" w:rsidRDefault="00E917F7" w:rsidP="00854028">
      <w:pPr>
        <w:spacing w:after="0" w:line="240" w:lineRule="auto"/>
        <w:ind w:left="1440"/>
        <w:jc w:val="both"/>
        <w:rPr>
          <w:rFonts w:eastAsia="Times New Roman" w:cs="Times New Roman"/>
          <w:szCs w:val="24"/>
        </w:rPr>
      </w:pPr>
    </w:p>
    <w:p w:rsidR="00E917F7" w:rsidRPr="001F1FFF" w:rsidRDefault="00E917F7" w:rsidP="00854028">
      <w:pPr>
        <w:spacing w:after="0" w:line="240" w:lineRule="auto"/>
        <w:ind w:left="1440"/>
        <w:jc w:val="both"/>
        <w:rPr>
          <w:rFonts w:eastAsia="Times New Roman" w:cs="Times New Roman"/>
          <w:szCs w:val="24"/>
        </w:rPr>
      </w:pPr>
      <w:r>
        <w:rPr>
          <w:rFonts w:eastAsia="Times New Roman" w:cs="Times New Roman"/>
          <w:szCs w:val="24"/>
        </w:rPr>
        <w:t>(h) Requires that a</w:t>
      </w:r>
      <w:r w:rsidRPr="001F1FFF">
        <w:rPr>
          <w:rFonts w:eastAsia="Times New Roman" w:cs="Times New Roman"/>
          <w:szCs w:val="24"/>
        </w:rPr>
        <w:t xml:space="preserve"> contract under Subsection (a) require a power generation company that owns or operates an electric energy storage facility to reimburse a transmission and distribution utility for the cost of an administrative penalty assessed against the utility for a violation caused by the facility's failure to meet the requirements of the agreement.</w:t>
      </w:r>
    </w:p>
    <w:p w:rsidR="00E917F7" w:rsidRPr="001F1FFF" w:rsidRDefault="00E917F7" w:rsidP="00854028">
      <w:pPr>
        <w:spacing w:after="0" w:line="240" w:lineRule="auto"/>
        <w:ind w:left="1440"/>
        <w:jc w:val="both"/>
        <w:rPr>
          <w:rFonts w:eastAsia="Times New Roman" w:cs="Times New Roman"/>
          <w:szCs w:val="24"/>
        </w:rPr>
      </w:pPr>
    </w:p>
    <w:p w:rsidR="00E917F7" w:rsidRPr="001F1FFF" w:rsidRDefault="00E917F7" w:rsidP="00854028">
      <w:pPr>
        <w:spacing w:after="0" w:line="240" w:lineRule="auto"/>
        <w:ind w:left="1440"/>
        <w:jc w:val="both"/>
        <w:rPr>
          <w:rFonts w:eastAsia="Times New Roman" w:cs="Times New Roman"/>
          <w:szCs w:val="24"/>
        </w:rPr>
      </w:pPr>
      <w:r>
        <w:rPr>
          <w:rFonts w:eastAsia="Times New Roman" w:cs="Times New Roman"/>
          <w:szCs w:val="24"/>
        </w:rPr>
        <w:t>(i)</w:t>
      </w:r>
      <w:r w:rsidRPr="001F1FFF">
        <w:rPr>
          <w:rFonts w:eastAsia="Times New Roman" w:cs="Times New Roman"/>
          <w:szCs w:val="24"/>
        </w:rPr>
        <w:t xml:space="preserve"> </w:t>
      </w:r>
      <w:r>
        <w:rPr>
          <w:rFonts w:eastAsia="Times New Roman" w:cs="Times New Roman"/>
          <w:szCs w:val="24"/>
        </w:rPr>
        <w:t xml:space="preserve">Requires </w:t>
      </w:r>
      <w:r w:rsidRPr="001F1FFF">
        <w:rPr>
          <w:rFonts w:eastAsia="Times New Roman" w:cs="Times New Roman"/>
          <w:szCs w:val="24"/>
        </w:rPr>
        <w:t>a regulatory authority</w:t>
      </w:r>
      <w:r>
        <w:rPr>
          <w:rFonts w:eastAsia="Times New Roman" w:cs="Times New Roman"/>
          <w:szCs w:val="24"/>
        </w:rPr>
        <w:t>, i</w:t>
      </w:r>
      <w:r w:rsidRPr="001F1FFF">
        <w:rPr>
          <w:rFonts w:eastAsia="Times New Roman" w:cs="Times New Roman"/>
          <w:szCs w:val="24"/>
        </w:rPr>
        <w:t xml:space="preserve">n establishing the rates of a transmission and distribution utility, </w:t>
      </w:r>
      <w:r>
        <w:rPr>
          <w:rFonts w:eastAsia="Times New Roman" w:cs="Times New Roman"/>
          <w:szCs w:val="24"/>
        </w:rPr>
        <w:t>to</w:t>
      </w:r>
      <w:r w:rsidRPr="001F1FFF">
        <w:rPr>
          <w:rFonts w:eastAsia="Times New Roman" w:cs="Times New Roman"/>
          <w:szCs w:val="24"/>
        </w:rPr>
        <w:t xml:space="preserve"> review a contract between the utility and a power generation company under Subsection (a). </w:t>
      </w:r>
      <w:r>
        <w:rPr>
          <w:rFonts w:eastAsia="Times New Roman" w:cs="Times New Roman"/>
          <w:szCs w:val="24"/>
        </w:rPr>
        <w:t>Provides that the</w:t>
      </w:r>
      <w:r w:rsidRPr="001F1FFF">
        <w:rPr>
          <w:rFonts w:eastAsia="Times New Roman" w:cs="Times New Roman"/>
          <w:szCs w:val="24"/>
        </w:rPr>
        <w:t xml:space="preserve"> utility has the burden of proof to establish that the costs of the contract are reasonable and necessary. </w:t>
      </w:r>
      <w:r>
        <w:rPr>
          <w:rFonts w:eastAsia="Times New Roman" w:cs="Times New Roman"/>
          <w:szCs w:val="24"/>
        </w:rPr>
        <w:t>Authorizes the</w:t>
      </w:r>
      <w:r w:rsidRPr="001F1FFF">
        <w:rPr>
          <w:rFonts w:eastAsia="Times New Roman" w:cs="Times New Roman"/>
          <w:szCs w:val="24"/>
        </w:rPr>
        <w:t xml:space="preserve"> regulatory authority </w:t>
      </w:r>
      <w:r>
        <w:rPr>
          <w:rFonts w:eastAsia="Times New Roman" w:cs="Times New Roman"/>
          <w:szCs w:val="24"/>
        </w:rPr>
        <w:t>to</w:t>
      </w:r>
      <w:r w:rsidRPr="001F1FFF">
        <w:rPr>
          <w:rFonts w:eastAsia="Times New Roman" w:cs="Times New Roman"/>
          <w:szCs w:val="24"/>
        </w:rPr>
        <w:t xml:space="preserve"> authorize a transmission and distribution utility to include a reasonable return on the payments required under the contract only if the contract terms satisfy the relevant accounting standards for a capital lease or finance lease.</w:t>
      </w:r>
    </w:p>
    <w:p w:rsidR="00E917F7" w:rsidRPr="001F1FFF" w:rsidRDefault="00E917F7" w:rsidP="00854028">
      <w:pPr>
        <w:spacing w:after="0" w:line="240" w:lineRule="auto"/>
        <w:ind w:left="1440"/>
        <w:jc w:val="both"/>
        <w:rPr>
          <w:rFonts w:eastAsia="Times New Roman" w:cs="Times New Roman"/>
          <w:szCs w:val="24"/>
        </w:rPr>
      </w:pPr>
    </w:p>
    <w:p w:rsidR="00E917F7" w:rsidRPr="001F1FFF" w:rsidRDefault="00E917F7" w:rsidP="00854028">
      <w:pPr>
        <w:spacing w:after="0" w:line="240" w:lineRule="auto"/>
        <w:ind w:left="1440"/>
        <w:jc w:val="both"/>
        <w:rPr>
          <w:rFonts w:eastAsia="Times New Roman" w:cs="Times New Roman"/>
          <w:szCs w:val="24"/>
        </w:rPr>
      </w:pPr>
      <w:r>
        <w:rPr>
          <w:rFonts w:eastAsia="Times New Roman" w:cs="Times New Roman"/>
          <w:szCs w:val="24"/>
        </w:rPr>
        <w:t>(j)</w:t>
      </w:r>
      <w:r w:rsidRPr="001F1FFF">
        <w:rPr>
          <w:rFonts w:eastAsia="Times New Roman" w:cs="Times New Roman"/>
          <w:szCs w:val="24"/>
        </w:rPr>
        <w:t xml:space="preserve"> </w:t>
      </w:r>
      <w:r>
        <w:rPr>
          <w:rFonts w:eastAsia="Times New Roman" w:cs="Times New Roman"/>
          <w:szCs w:val="24"/>
        </w:rPr>
        <w:t>Prohibits t</w:t>
      </w:r>
      <w:r w:rsidRPr="001F1FFF">
        <w:rPr>
          <w:rFonts w:eastAsia="Times New Roman" w:cs="Times New Roman"/>
          <w:szCs w:val="24"/>
        </w:rPr>
        <w:t xml:space="preserve">he total amount of electric energy storage capacity reserved by contracts under Subsection (a) </w:t>
      </w:r>
      <w:r>
        <w:rPr>
          <w:rFonts w:eastAsia="Times New Roman" w:cs="Times New Roman"/>
          <w:szCs w:val="24"/>
        </w:rPr>
        <w:t xml:space="preserve">from exceeding 40 megawatts. Requires the PUC </w:t>
      </w:r>
      <w:r w:rsidRPr="001F1FFF">
        <w:rPr>
          <w:rFonts w:eastAsia="Times New Roman" w:cs="Times New Roman"/>
          <w:szCs w:val="24"/>
        </w:rPr>
        <w:t>by rule</w:t>
      </w:r>
      <w:r>
        <w:rPr>
          <w:rFonts w:eastAsia="Times New Roman" w:cs="Times New Roman"/>
          <w:szCs w:val="24"/>
        </w:rPr>
        <w:t xml:space="preserve"> to</w:t>
      </w:r>
      <w:r w:rsidRPr="001F1FFF">
        <w:rPr>
          <w:rFonts w:eastAsia="Times New Roman" w:cs="Times New Roman"/>
          <w:szCs w:val="24"/>
        </w:rPr>
        <w:t xml:space="preserve"> establish the maximum amount of electric energy storage capacity allotted to each transmission and distribution utility.</w:t>
      </w:r>
    </w:p>
    <w:p w:rsidR="00E917F7" w:rsidRPr="001F1FFF" w:rsidRDefault="00E917F7" w:rsidP="00854028">
      <w:pPr>
        <w:spacing w:after="0" w:line="240" w:lineRule="auto"/>
        <w:ind w:left="1440"/>
        <w:jc w:val="both"/>
        <w:rPr>
          <w:rFonts w:eastAsia="Times New Roman" w:cs="Times New Roman"/>
          <w:szCs w:val="24"/>
        </w:rPr>
      </w:pPr>
    </w:p>
    <w:p w:rsidR="00E917F7" w:rsidRPr="005C2A78" w:rsidRDefault="00E917F7" w:rsidP="00854028">
      <w:pPr>
        <w:spacing w:after="0" w:line="240" w:lineRule="auto"/>
        <w:ind w:left="1440"/>
        <w:jc w:val="both"/>
        <w:rPr>
          <w:rFonts w:eastAsia="Times New Roman" w:cs="Times New Roman"/>
          <w:szCs w:val="24"/>
        </w:rPr>
      </w:pPr>
      <w:r>
        <w:rPr>
          <w:rFonts w:eastAsia="Times New Roman" w:cs="Times New Roman"/>
          <w:szCs w:val="24"/>
        </w:rPr>
        <w:t>(k) Requires the PUC to</w:t>
      </w:r>
      <w:r w:rsidRPr="001F1FFF">
        <w:rPr>
          <w:rFonts w:eastAsia="Times New Roman" w:cs="Times New Roman"/>
          <w:szCs w:val="24"/>
        </w:rPr>
        <w:t xml:space="preserve"> adopt rules as necessary to implement this section and establish criteria for approving contracts under Subsection (a).</w:t>
      </w:r>
    </w:p>
    <w:p w:rsidR="00E917F7" w:rsidRPr="005C2A78" w:rsidRDefault="00E917F7" w:rsidP="00854028">
      <w:pPr>
        <w:spacing w:after="0" w:line="240" w:lineRule="auto"/>
        <w:jc w:val="both"/>
        <w:rPr>
          <w:rFonts w:eastAsia="Times New Roman" w:cs="Times New Roman"/>
          <w:szCs w:val="24"/>
        </w:rPr>
      </w:pPr>
    </w:p>
    <w:p w:rsidR="00E917F7" w:rsidRDefault="00E917F7" w:rsidP="0085402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Requires the PUC to </w:t>
      </w:r>
      <w:r w:rsidRPr="001F1FFF">
        <w:rPr>
          <w:rFonts w:eastAsia="Times New Roman" w:cs="Times New Roman"/>
          <w:szCs w:val="24"/>
        </w:rPr>
        <w:t>adopt rules required by Section 35.153, Utilities Code, as added by this Act, as soon as practicable after the effective date of this Act.</w:t>
      </w:r>
    </w:p>
    <w:p w:rsidR="00E917F7" w:rsidRDefault="00E917F7" w:rsidP="00854028">
      <w:pPr>
        <w:spacing w:after="0" w:line="240" w:lineRule="auto"/>
        <w:jc w:val="both"/>
        <w:rPr>
          <w:rFonts w:eastAsia="Times New Roman" w:cs="Times New Roman"/>
          <w:szCs w:val="24"/>
        </w:rPr>
      </w:pPr>
    </w:p>
    <w:p w:rsidR="00E917F7" w:rsidRPr="00C8671F" w:rsidRDefault="00E917F7" w:rsidP="00854028">
      <w:pPr>
        <w:spacing w:after="0" w:line="240" w:lineRule="auto"/>
        <w:jc w:val="both"/>
        <w:rPr>
          <w:rFonts w:eastAsia="Times New Roman" w:cs="Times New Roman"/>
          <w:szCs w:val="24"/>
        </w:rPr>
      </w:pPr>
      <w:r>
        <w:rPr>
          <w:rFonts w:eastAsia="Times New Roman" w:cs="Times New Roman"/>
          <w:szCs w:val="24"/>
        </w:rPr>
        <w:t>SECTION 4. Effective date: September 1, 2021.</w:t>
      </w:r>
    </w:p>
    <w:sectPr w:rsidR="00E917F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FEE" w:rsidRDefault="001B5FEE" w:rsidP="000F1DF9">
      <w:pPr>
        <w:spacing w:after="0" w:line="240" w:lineRule="auto"/>
      </w:pPr>
      <w:r>
        <w:separator/>
      </w:r>
    </w:p>
  </w:endnote>
  <w:endnote w:type="continuationSeparator" w:id="0">
    <w:p w:rsidR="001B5FEE" w:rsidRDefault="001B5FE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B5FE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917F7">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917F7">
                <w:rPr>
                  <w:sz w:val="20"/>
                  <w:szCs w:val="20"/>
                </w:rPr>
                <w:t>S.B. 415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917F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B5FE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FEE" w:rsidRDefault="001B5FEE" w:rsidP="000F1DF9">
      <w:pPr>
        <w:spacing w:after="0" w:line="240" w:lineRule="auto"/>
      </w:pPr>
      <w:r>
        <w:separator/>
      </w:r>
    </w:p>
  </w:footnote>
  <w:footnote w:type="continuationSeparator" w:id="0">
    <w:p w:rsidR="001B5FEE" w:rsidRDefault="001B5FE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B5FEE"/>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917F7"/>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50ABA"/>
  <w15:docId w15:val="{1DDFA5C8-10E0-45B9-980C-AC118A89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917F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46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D9DB70F84414BE280955C7CD54261CD"/>
        <w:category>
          <w:name w:val="General"/>
          <w:gallery w:val="placeholder"/>
        </w:category>
        <w:types>
          <w:type w:val="bbPlcHdr"/>
        </w:types>
        <w:behaviors>
          <w:behavior w:val="content"/>
        </w:behaviors>
        <w:guid w:val="{364E0949-F22F-48EC-9A0C-8A1E48A65E5F}"/>
      </w:docPartPr>
      <w:docPartBody>
        <w:p w:rsidR="00000000" w:rsidRDefault="00AC6031"/>
      </w:docPartBody>
    </w:docPart>
    <w:docPart>
      <w:docPartPr>
        <w:name w:val="45B6C6CA70404F77B6087322FDAFE93F"/>
        <w:category>
          <w:name w:val="General"/>
          <w:gallery w:val="placeholder"/>
        </w:category>
        <w:types>
          <w:type w:val="bbPlcHdr"/>
        </w:types>
        <w:behaviors>
          <w:behavior w:val="content"/>
        </w:behaviors>
        <w:guid w:val="{06002B41-7A61-4D86-8DAB-C1816B4EF071}"/>
      </w:docPartPr>
      <w:docPartBody>
        <w:p w:rsidR="00000000" w:rsidRDefault="00AC6031"/>
      </w:docPartBody>
    </w:docPart>
    <w:docPart>
      <w:docPartPr>
        <w:name w:val="838AB3D5D66948B79F7C8ACD4A655B41"/>
        <w:category>
          <w:name w:val="General"/>
          <w:gallery w:val="placeholder"/>
        </w:category>
        <w:types>
          <w:type w:val="bbPlcHdr"/>
        </w:types>
        <w:behaviors>
          <w:behavior w:val="content"/>
        </w:behaviors>
        <w:guid w:val="{8E715385-6D2A-4A18-9911-FA3CCCEA2B6A}"/>
      </w:docPartPr>
      <w:docPartBody>
        <w:p w:rsidR="00000000" w:rsidRDefault="00AC6031"/>
      </w:docPartBody>
    </w:docPart>
    <w:docPart>
      <w:docPartPr>
        <w:name w:val="2B31BC5E27554322B4FBC377D563CAAB"/>
        <w:category>
          <w:name w:val="General"/>
          <w:gallery w:val="placeholder"/>
        </w:category>
        <w:types>
          <w:type w:val="bbPlcHdr"/>
        </w:types>
        <w:behaviors>
          <w:behavior w:val="content"/>
        </w:behaviors>
        <w:guid w:val="{F13BB31B-C7E7-47AD-AC53-A00324CD32F0}"/>
      </w:docPartPr>
      <w:docPartBody>
        <w:p w:rsidR="00000000" w:rsidRDefault="00AC6031"/>
      </w:docPartBody>
    </w:docPart>
    <w:docPart>
      <w:docPartPr>
        <w:name w:val="3262B1829D244A5299690C02B0955CCB"/>
        <w:category>
          <w:name w:val="General"/>
          <w:gallery w:val="placeholder"/>
        </w:category>
        <w:types>
          <w:type w:val="bbPlcHdr"/>
        </w:types>
        <w:behaviors>
          <w:behavior w:val="content"/>
        </w:behaviors>
        <w:guid w:val="{DDB796C0-535D-44C5-A1C0-E540C524A22C}"/>
      </w:docPartPr>
      <w:docPartBody>
        <w:p w:rsidR="00000000" w:rsidRDefault="00AC6031"/>
      </w:docPartBody>
    </w:docPart>
    <w:docPart>
      <w:docPartPr>
        <w:name w:val="597AE67F654A4E49A6224B7C36F9CC48"/>
        <w:category>
          <w:name w:val="General"/>
          <w:gallery w:val="placeholder"/>
        </w:category>
        <w:types>
          <w:type w:val="bbPlcHdr"/>
        </w:types>
        <w:behaviors>
          <w:behavior w:val="content"/>
        </w:behaviors>
        <w:guid w:val="{C49958A0-F6C6-4218-9427-A5AC694887F1}"/>
      </w:docPartPr>
      <w:docPartBody>
        <w:p w:rsidR="00000000" w:rsidRDefault="00AC6031"/>
      </w:docPartBody>
    </w:docPart>
    <w:docPart>
      <w:docPartPr>
        <w:name w:val="DB0EAC70DDED4AD6A6BEAF2121B00A34"/>
        <w:category>
          <w:name w:val="General"/>
          <w:gallery w:val="placeholder"/>
        </w:category>
        <w:types>
          <w:type w:val="bbPlcHdr"/>
        </w:types>
        <w:behaviors>
          <w:behavior w:val="content"/>
        </w:behaviors>
        <w:guid w:val="{A4D31ABD-4F5F-4711-84E1-2ACCE1063523}"/>
      </w:docPartPr>
      <w:docPartBody>
        <w:p w:rsidR="00000000" w:rsidRDefault="00AC6031"/>
      </w:docPartBody>
    </w:docPart>
    <w:docPart>
      <w:docPartPr>
        <w:name w:val="915D688175D84060A2A20E7665A2BAAF"/>
        <w:category>
          <w:name w:val="General"/>
          <w:gallery w:val="placeholder"/>
        </w:category>
        <w:types>
          <w:type w:val="bbPlcHdr"/>
        </w:types>
        <w:behaviors>
          <w:behavior w:val="content"/>
        </w:behaviors>
        <w:guid w:val="{446BD4CF-A576-42CF-945E-B100E35BF340}"/>
      </w:docPartPr>
      <w:docPartBody>
        <w:p w:rsidR="00000000" w:rsidRDefault="00AC6031"/>
      </w:docPartBody>
    </w:docPart>
    <w:docPart>
      <w:docPartPr>
        <w:name w:val="529121EBAAF84F1B8CD145AFAD5AFCD5"/>
        <w:category>
          <w:name w:val="General"/>
          <w:gallery w:val="placeholder"/>
        </w:category>
        <w:types>
          <w:type w:val="bbPlcHdr"/>
        </w:types>
        <w:behaviors>
          <w:behavior w:val="content"/>
        </w:behaviors>
        <w:guid w:val="{FF51750D-DB03-4100-80FB-A3F03227FDA2}"/>
      </w:docPartPr>
      <w:docPartBody>
        <w:p w:rsidR="00000000" w:rsidRDefault="00AC6031"/>
      </w:docPartBody>
    </w:docPart>
    <w:docPart>
      <w:docPartPr>
        <w:name w:val="844CF8F5694D42F8B0A4F8EBBC08EC0A"/>
        <w:category>
          <w:name w:val="General"/>
          <w:gallery w:val="placeholder"/>
        </w:category>
        <w:types>
          <w:type w:val="bbPlcHdr"/>
        </w:types>
        <w:behaviors>
          <w:behavior w:val="content"/>
        </w:behaviors>
        <w:guid w:val="{6E124699-96D6-41DE-A8B3-147018DF0806}"/>
      </w:docPartPr>
      <w:docPartBody>
        <w:p w:rsidR="00000000" w:rsidRDefault="00904EEA" w:rsidP="00904EEA">
          <w:pPr>
            <w:pStyle w:val="844CF8F5694D42F8B0A4F8EBBC08EC0A"/>
          </w:pPr>
          <w:r w:rsidRPr="00A30DD1">
            <w:rPr>
              <w:rStyle w:val="PlaceholderText"/>
            </w:rPr>
            <w:t>Click here to enter a date.</w:t>
          </w:r>
        </w:p>
      </w:docPartBody>
    </w:docPart>
    <w:docPart>
      <w:docPartPr>
        <w:name w:val="504B4153FF6C47E6B77D83343A5EB75B"/>
        <w:category>
          <w:name w:val="General"/>
          <w:gallery w:val="placeholder"/>
        </w:category>
        <w:types>
          <w:type w:val="bbPlcHdr"/>
        </w:types>
        <w:behaviors>
          <w:behavior w:val="content"/>
        </w:behaviors>
        <w:guid w:val="{0300EE16-23CC-4C3F-A7AD-2498485B2019}"/>
      </w:docPartPr>
      <w:docPartBody>
        <w:p w:rsidR="00000000" w:rsidRDefault="00AC6031"/>
      </w:docPartBody>
    </w:docPart>
    <w:docPart>
      <w:docPartPr>
        <w:name w:val="43794467F75E42ED8100C8EAFAE95F47"/>
        <w:category>
          <w:name w:val="General"/>
          <w:gallery w:val="placeholder"/>
        </w:category>
        <w:types>
          <w:type w:val="bbPlcHdr"/>
        </w:types>
        <w:behaviors>
          <w:behavior w:val="content"/>
        </w:behaviors>
        <w:guid w:val="{F684E962-0121-4D3A-8327-8AEAEC994DA8}"/>
      </w:docPartPr>
      <w:docPartBody>
        <w:p w:rsidR="00000000" w:rsidRDefault="00AC6031"/>
      </w:docPartBody>
    </w:docPart>
    <w:docPart>
      <w:docPartPr>
        <w:name w:val="C6A5EAB8C86347A1AEC8D1B4F944075C"/>
        <w:category>
          <w:name w:val="General"/>
          <w:gallery w:val="placeholder"/>
        </w:category>
        <w:types>
          <w:type w:val="bbPlcHdr"/>
        </w:types>
        <w:behaviors>
          <w:behavior w:val="content"/>
        </w:behaviors>
        <w:guid w:val="{83D964D3-2E60-461D-B83A-902A7302A031}"/>
      </w:docPartPr>
      <w:docPartBody>
        <w:p w:rsidR="00000000" w:rsidRDefault="00904EEA" w:rsidP="00904EEA">
          <w:pPr>
            <w:pStyle w:val="C6A5EAB8C86347A1AEC8D1B4F944075C"/>
          </w:pPr>
          <w:r>
            <w:rPr>
              <w:rFonts w:eastAsia="Times New Roman" w:cs="Times New Roman"/>
              <w:bCs/>
              <w:szCs w:val="24"/>
            </w:rPr>
            <w:t xml:space="preserve"> </w:t>
          </w:r>
        </w:p>
      </w:docPartBody>
    </w:docPart>
    <w:docPart>
      <w:docPartPr>
        <w:name w:val="1B68A29089D7456690DA20999F30982B"/>
        <w:category>
          <w:name w:val="General"/>
          <w:gallery w:val="placeholder"/>
        </w:category>
        <w:types>
          <w:type w:val="bbPlcHdr"/>
        </w:types>
        <w:behaviors>
          <w:behavior w:val="content"/>
        </w:behaviors>
        <w:guid w:val="{61192E16-30E4-4315-85C3-96F22DA98BF0}"/>
      </w:docPartPr>
      <w:docPartBody>
        <w:p w:rsidR="00000000" w:rsidRDefault="00AC6031"/>
      </w:docPartBody>
    </w:docPart>
    <w:docPart>
      <w:docPartPr>
        <w:name w:val="5B10BE99CF444EFCAE1AE68DF4347BE2"/>
        <w:category>
          <w:name w:val="General"/>
          <w:gallery w:val="placeholder"/>
        </w:category>
        <w:types>
          <w:type w:val="bbPlcHdr"/>
        </w:types>
        <w:behaviors>
          <w:behavior w:val="content"/>
        </w:behaviors>
        <w:guid w:val="{B72B573F-A655-4265-869C-307C1FE2BEE4}"/>
      </w:docPartPr>
      <w:docPartBody>
        <w:p w:rsidR="00000000" w:rsidRDefault="00AC60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4EEA"/>
    <w:rsid w:val="0090598B"/>
    <w:rsid w:val="00984D6C"/>
    <w:rsid w:val="00A54AD6"/>
    <w:rsid w:val="00A57564"/>
    <w:rsid w:val="00AC6031"/>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EE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44CF8F5694D42F8B0A4F8EBBC08EC0A">
    <w:name w:val="844CF8F5694D42F8B0A4F8EBBC08EC0A"/>
    <w:rsid w:val="00904EEA"/>
    <w:pPr>
      <w:spacing w:after="160" w:line="259" w:lineRule="auto"/>
    </w:pPr>
  </w:style>
  <w:style w:type="paragraph" w:customStyle="1" w:styleId="C6A5EAB8C86347A1AEC8D1B4F944075C">
    <w:name w:val="C6A5EAB8C86347A1AEC8D1B4F944075C"/>
    <w:rsid w:val="00904EE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1FF8324-9B74-48DF-9C24-23B849399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1055</Words>
  <Characters>6016</Characters>
  <Application>Microsoft Office Word</Application>
  <DocSecurity>0</DocSecurity>
  <Lines>50</Lines>
  <Paragraphs>14</Paragraphs>
  <ScaleCrop>false</ScaleCrop>
  <Company>Texas Legislative Council</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2021-03-13T16:38:00Z</dcterms:modified>
</cp:coreProperties>
</file>

<file path=docProps/custom.xml><?xml version="1.0" encoding="utf-8"?>
<op:Properties xmlns:vt="http://schemas.openxmlformats.org/officeDocument/2006/docPropsVTypes" xmlns:op="http://schemas.openxmlformats.org/officeDocument/2006/custom-properties"/>
</file>