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D2604" w14:paraId="162E8882" w14:textId="77777777" w:rsidTr="00345119">
        <w:tc>
          <w:tcPr>
            <w:tcW w:w="9576" w:type="dxa"/>
            <w:noWrap/>
          </w:tcPr>
          <w:p w14:paraId="3BE33329" w14:textId="77777777" w:rsidR="008423E4" w:rsidRPr="0022177D" w:rsidRDefault="00E93941" w:rsidP="006817F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37AA30" w14:textId="77777777" w:rsidR="008423E4" w:rsidRPr="0022177D" w:rsidRDefault="008423E4" w:rsidP="006817F5">
      <w:pPr>
        <w:jc w:val="center"/>
      </w:pPr>
    </w:p>
    <w:p w14:paraId="7C88A76F" w14:textId="77777777" w:rsidR="008423E4" w:rsidRPr="00B31F0E" w:rsidRDefault="008423E4" w:rsidP="006817F5"/>
    <w:p w14:paraId="218C4FC7" w14:textId="77777777" w:rsidR="008423E4" w:rsidRPr="00742794" w:rsidRDefault="008423E4" w:rsidP="006817F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2604" w14:paraId="29365F76" w14:textId="77777777" w:rsidTr="00345119">
        <w:tc>
          <w:tcPr>
            <w:tcW w:w="9576" w:type="dxa"/>
          </w:tcPr>
          <w:p w14:paraId="1EDD41EA" w14:textId="77777777" w:rsidR="008423E4" w:rsidRPr="00861995" w:rsidRDefault="00E93941" w:rsidP="006817F5">
            <w:pPr>
              <w:jc w:val="right"/>
            </w:pPr>
            <w:r>
              <w:t>C.S.S.B. 452</w:t>
            </w:r>
          </w:p>
        </w:tc>
      </w:tr>
      <w:tr w:rsidR="005D2604" w14:paraId="5D96782F" w14:textId="77777777" w:rsidTr="00345119">
        <w:tc>
          <w:tcPr>
            <w:tcW w:w="9576" w:type="dxa"/>
          </w:tcPr>
          <w:p w14:paraId="25F90736" w14:textId="77777777" w:rsidR="008423E4" w:rsidRPr="00861995" w:rsidRDefault="00E93941" w:rsidP="006817F5">
            <w:pPr>
              <w:jc w:val="right"/>
            </w:pPr>
            <w:r>
              <w:t xml:space="preserve">By: </w:t>
            </w:r>
            <w:r w:rsidR="00E544AF">
              <w:t>West</w:t>
            </w:r>
          </w:p>
        </w:tc>
      </w:tr>
      <w:tr w:rsidR="005D2604" w14:paraId="017C11F9" w14:textId="77777777" w:rsidTr="00345119">
        <w:tc>
          <w:tcPr>
            <w:tcW w:w="9576" w:type="dxa"/>
          </w:tcPr>
          <w:p w14:paraId="708D8D8B" w14:textId="77777777" w:rsidR="008423E4" w:rsidRPr="00861995" w:rsidRDefault="00E93941" w:rsidP="006817F5">
            <w:pPr>
              <w:jc w:val="right"/>
            </w:pPr>
            <w:r>
              <w:t>Human Services</w:t>
            </w:r>
          </w:p>
        </w:tc>
      </w:tr>
      <w:tr w:rsidR="005D2604" w14:paraId="5B93092F" w14:textId="77777777" w:rsidTr="00345119">
        <w:tc>
          <w:tcPr>
            <w:tcW w:w="9576" w:type="dxa"/>
          </w:tcPr>
          <w:p w14:paraId="0FCA3655" w14:textId="77777777" w:rsidR="008423E4" w:rsidRDefault="00E93941" w:rsidP="006817F5">
            <w:pPr>
              <w:jc w:val="right"/>
            </w:pPr>
            <w:r>
              <w:t>Committee Report (Substituted)</w:t>
            </w:r>
          </w:p>
        </w:tc>
      </w:tr>
    </w:tbl>
    <w:p w14:paraId="32D43F28" w14:textId="77777777" w:rsidR="008423E4" w:rsidRDefault="008423E4" w:rsidP="006817F5">
      <w:pPr>
        <w:tabs>
          <w:tab w:val="right" w:pos="9360"/>
        </w:tabs>
      </w:pPr>
    </w:p>
    <w:p w14:paraId="1387B30E" w14:textId="77777777" w:rsidR="008423E4" w:rsidRDefault="008423E4" w:rsidP="006817F5"/>
    <w:p w14:paraId="57ECEB8A" w14:textId="77777777" w:rsidR="008423E4" w:rsidRDefault="008423E4" w:rsidP="006817F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D2604" w14:paraId="0AAD3362" w14:textId="77777777" w:rsidTr="00345119">
        <w:tc>
          <w:tcPr>
            <w:tcW w:w="9576" w:type="dxa"/>
          </w:tcPr>
          <w:p w14:paraId="3714E39A" w14:textId="77777777" w:rsidR="008423E4" w:rsidRPr="00A8133F" w:rsidRDefault="00E93941" w:rsidP="006817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6C55F3" w14:textId="77777777" w:rsidR="008423E4" w:rsidRDefault="008423E4" w:rsidP="006817F5"/>
          <w:p w14:paraId="522A1E4C" w14:textId="4B7936F6" w:rsidR="008423E4" w:rsidRDefault="00E93941" w:rsidP="006817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01C9B">
              <w:t>Evidence-based practice requirements help the state provide high</w:t>
            </w:r>
            <w:r w:rsidR="00B84A68">
              <w:t>-</w:t>
            </w:r>
            <w:r w:rsidRPr="00801C9B">
              <w:t xml:space="preserve">quality services for children and families across Texas in situations where there is a risk of abuse or neglect. </w:t>
            </w:r>
            <w:r>
              <w:t xml:space="preserve">It has been suggested that statutory provisions </w:t>
            </w:r>
            <w:r w:rsidRPr="00801C9B">
              <w:t>relating to prevention and early intervention services</w:t>
            </w:r>
            <w:r>
              <w:t xml:space="preserve"> must be updated</w:t>
            </w:r>
            <w:r w:rsidRPr="00801C9B">
              <w:t xml:space="preserve"> to ensure that the state</w:t>
            </w:r>
            <w:r w:rsidRPr="00801C9B">
              <w:t xml:space="preserve"> provides the best possible prevention programming and services intended to prevent child abuse or neglect.</w:t>
            </w:r>
            <w:r>
              <w:t xml:space="preserve"> C.S.S.B. 452 seeks to provide for </w:t>
            </w:r>
            <w:r w:rsidR="00D905C8">
              <w:t>these</w:t>
            </w:r>
            <w:r>
              <w:t xml:space="preserve"> </w:t>
            </w:r>
            <w:r w:rsidR="00F4043B">
              <w:t>updates</w:t>
            </w:r>
            <w:r>
              <w:t>.</w:t>
            </w:r>
          </w:p>
          <w:p w14:paraId="34D92D57" w14:textId="77777777" w:rsidR="008423E4" w:rsidRPr="00E26B13" w:rsidRDefault="008423E4" w:rsidP="006817F5">
            <w:pPr>
              <w:rPr>
                <w:b/>
              </w:rPr>
            </w:pPr>
          </w:p>
        </w:tc>
      </w:tr>
      <w:tr w:rsidR="005D2604" w14:paraId="47470304" w14:textId="77777777" w:rsidTr="00345119">
        <w:tc>
          <w:tcPr>
            <w:tcW w:w="9576" w:type="dxa"/>
          </w:tcPr>
          <w:p w14:paraId="3198E2BC" w14:textId="77777777" w:rsidR="0017725B" w:rsidRDefault="00E93941" w:rsidP="006817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13F1F9C" w14:textId="77777777" w:rsidR="0017725B" w:rsidRDefault="0017725B" w:rsidP="006817F5">
            <w:pPr>
              <w:rPr>
                <w:b/>
                <w:u w:val="single"/>
              </w:rPr>
            </w:pPr>
          </w:p>
          <w:p w14:paraId="7E16DCBC" w14:textId="0C832356" w:rsidR="009147B0" w:rsidRPr="009147B0" w:rsidRDefault="00E93941" w:rsidP="006817F5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14:paraId="604EBA1E" w14:textId="77777777" w:rsidR="0017725B" w:rsidRPr="0017725B" w:rsidRDefault="0017725B" w:rsidP="006817F5">
            <w:pPr>
              <w:rPr>
                <w:b/>
                <w:u w:val="single"/>
              </w:rPr>
            </w:pPr>
          </w:p>
        </w:tc>
      </w:tr>
      <w:tr w:rsidR="005D2604" w14:paraId="1948BFAB" w14:textId="77777777" w:rsidTr="00345119">
        <w:tc>
          <w:tcPr>
            <w:tcW w:w="9576" w:type="dxa"/>
          </w:tcPr>
          <w:p w14:paraId="0A4B7C6F" w14:textId="77777777" w:rsidR="008423E4" w:rsidRPr="00A8133F" w:rsidRDefault="00E93941" w:rsidP="006817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F168D9" w14:textId="77777777" w:rsidR="008423E4" w:rsidRDefault="008423E4" w:rsidP="006817F5"/>
          <w:p w14:paraId="7E029A0A" w14:textId="3D143E09" w:rsidR="009147B0" w:rsidRDefault="00E93941" w:rsidP="006817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</w:t>
            </w:r>
            <w:r>
              <w:t>hat this bill does not expressly grant any additional rulemaking authority to a state officer, department, agency, or institution.</w:t>
            </w:r>
          </w:p>
          <w:p w14:paraId="2B5C918E" w14:textId="77777777" w:rsidR="008423E4" w:rsidRPr="00E21FDC" w:rsidRDefault="008423E4" w:rsidP="006817F5">
            <w:pPr>
              <w:rPr>
                <w:b/>
              </w:rPr>
            </w:pPr>
          </w:p>
        </w:tc>
      </w:tr>
      <w:tr w:rsidR="005D2604" w14:paraId="01BF9F80" w14:textId="77777777" w:rsidTr="00345119">
        <w:tc>
          <w:tcPr>
            <w:tcW w:w="9576" w:type="dxa"/>
          </w:tcPr>
          <w:p w14:paraId="16EDB6C0" w14:textId="77777777" w:rsidR="008423E4" w:rsidRPr="00A8133F" w:rsidRDefault="00E93941" w:rsidP="006817F5">
            <w:pPr>
              <w:tabs>
                <w:tab w:val="left" w:pos="6480"/>
              </w:tabs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BB3430">
              <w:rPr>
                <w:b/>
              </w:rPr>
              <w:tab/>
            </w:r>
          </w:p>
          <w:p w14:paraId="38889CFF" w14:textId="77777777" w:rsidR="008423E4" w:rsidRDefault="008423E4" w:rsidP="006817F5"/>
          <w:p w14:paraId="0FAAB214" w14:textId="6DD83354" w:rsidR="002A78E5" w:rsidRDefault="00E93941" w:rsidP="006817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452 repeals </w:t>
            </w:r>
            <w:r w:rsidR="00CB3114">
              <w:t>Section 265.151(a),</w:t>
            </w:r>
            <w:r w:rsidR="000F0B55">
              <w:t xml:space="preserve"> Family Code</w:t>
            </w:r>
            <w:r w:rsidR="00CB3114">
              <w:t>,</w:t>
            </w:r>
            <w:r>
              <w:t xml:space="preserve"> </w:t>
            </w:r>
            <w:r w:rsidR="00CB3114">
              <w:t>which</w:t>
            </w:r>
            <w:r w:rsidR="000F0B55">
              <w:t xml:space="preserve"> </w:t>
            </w:r>
            <w:r>
              <w:t>requir</w:t>
            </w:r>
            <w:r w:rsidR="00CB3114">
              <w:t>es</w:t>
            </w:r>
            <w:r>
              <w:t xml:space="preserve"> a </w:t>
            </w:r>
            <w:r w:rsidRPr="00C2580A">
              <w:t>parenting education program provided by</w:t>
            </w:r>
            <w:r>
              <w:t xml:space="preserve"> the </w:t>
            </w:r>
            <w:r w:rsidRPr="00C2580A">
              <w:t>Department of Family and Protective Services (DFPS)</w:t>
            </w:r>
            <w:r>
              <w:t xml:space="preserve"> to be an </w:t>
            </w:r>
            <w:r w:rsidRPr="00C2580A">
              <w:t>evidence-based program or a promising practice program</w:t>
            </w:r>
            <w:r>
              <w:t xml:space="preserve"> and amends the Family Code to make requirements relating to parenting education programs provided by DFPS, </w:t>
            </w:r>
            <w:r w:rsidRPr="004A2FCD">
              <w:t>including requirements relat</w:t>
            </w:r>
            <w:r w:rsidRPr="004A2FCD">
              <w:t>ing to program outcomes</w:t>
            </w:r>
            <w:r w:rsidR="00F55BC5">
              <w:t xml:space="preserve"> and</w:t>
            </w:r>
            <w:r w:rsidRPr="004A2FCD">
              <w:t xml:space="preserve"> </w:t>
            </w:r>
            <w:r>
              <w:t xml:space="preserve">program </w:t>
            </w:r>
            <w:r w:rsidRPr="004A2FCD">
              <w:t>evaluation by DFPS</w:t>
            </w:r>
            <w:r>
              <w:t xml:space="preserve"> </w:t>
            </w:r>
            <w:r w:rsidRPr="001B0C59">
              <w:t>applicable to prevention and early intervention programs or practices.</w:t>
            </w:r>
            <w:r w:rsidR="00942D25">
              <w:t xml:space="preserve"> </w:t>
            </w:r>
            <w:r w:rsidR="00F55BC5">
              <w:t xml:space="preserve">The bill also makes the annual </w:t>
            </w:r>
            <w:r w:rsidR="00F55BC5" w:rsidRPr="004A2FCD">
              <w:t>report</w:t>
            </w:r>
            <w:r w:rsidR="00F55BC5">
              <w:t xml:space="preserve"> required to be submitted </w:t>
            </w:r>
            <w:r w:rsidR="00331A66">
              <w:t xml:space="preserve">by DFPS </w:t>
            </w:r>
            <w:r w:rsidR="00F55BC5">
              <w:t xml:space="preserve">to the standing committees of the senate and house of representatives with jurisdiction over child protective services applicable to </w:t>
            </w:r>
            <w:r w:rsidR="00F55BC5" w:rsidRPr="001B0C59">
              <w:t>prevention and early intervention programs or practices</w:t>
            </w:r>
            <w:r w:rsidR="00F55BC5">
              <w:t xml:space="preserve"> and specifies that the goals and achieved outcomes to be included in the report apply to implemented programs and practices.</w:t>
            </w:r>
          </w:p>
          <w:p w14:paraId="0E30BD67" w14:textId="77777777" w:rsidR="002A78E5" w:rsidRDefault="002A78E5" w:rsidP="006817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FBB3C8" w14:textId="258716FA" w:rsidR="009C36CD" w:rsidRDefault="00E93941" w:rsidP="006817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452 </w:t>
            </w:r>
            <w:r w:rsidR="00AA51CB">
              <w:t>adds to</w:t>
            </w:r>
            <w:r w:rsidR="00AA51CB" w:rsidRPr="00942D25">
              <w:t xml:space="preserve"> </w:t>
            </w:r>
            <w:r w:rsidR="00942D25" w:rsidRPr="00942D25">
              <w:t xml:space="preserve">the criteria for a program or practice to be considered evidence-based </w:t>
            </w:r>
            <w:r w:rsidR="00AA51CB">
              <w:t xml:space="preserve">that the program or practice is one associated </w:t>
            </w:r>
            <w:r w:rsidR="00AA51CB" w:rsidRPr="00AA51CB">
              <w:t xml:space="preserve">with an organization in </w:t>
            </w:r>
            <w:r w:rsidR="00331A66">
              <w:t>Texas</w:t>
            </w:r>
            <w:r w:rsidR="00AA51CB" w:rsidRPr="00AA51CB">
              <w:t>, a national organization, an institution of higher education, or a national or state public health institute</w:t>
            </w:r>
            <w:r w:rsidR="00AA51CB">
              <w:t xml:space="preserve">. The bill </w:t>
            </w:r>
            <w:r w:rsidR="00942D25" w:rsidRPr="00942D25">
              <w:t>establishes the following criteria for a program or practice to be considered evidence</w:t>
            </w:r>
            <w:r w:rsidR="00744CEF">
              <w:t xml:space="preserve"> </w:t>
            </w:r>
            <w:r w:rsidR="00942D25" w:rsidRPr="00942D25">
              <w:t>informed:</w:t>
            </w:r>
            <w:r w:rsidR="00942D25">
              <w:t xml:space="preserve"> </w:t>
            </w:r>
          </w:p>
          <w:p w14:paraId="209ACB3A" w14:textId="0A1D03D5" w:rsidR="009D097C" w:rsidRDefault="00E93941" w:rsidP="006817F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D097C">
              <w:t xml:space="preserve">combines well-researched interventions with clinical experience and ethics, and client preferences and culture, to guide and </w:t>
            </w:r>
            <w:r w:rsidRPr="009D097C">
              <w:t>inform the delivery of treatments and services;</w:t>
            </w:r>
          </w:p>
          <w:p w14:paraId="771466D9" w14:textId="77777777" w:rsidR="009D097C" w:rsidRDefault="00E93941" w:rsidP="006817F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has an active impact evaluation of the program or practice or demonstrates a schedule for implementing an active impact evaluation of the program or practice;</w:t>
            </w:r>
          </w:p>
          <w:p w14:paraId="6348E1CB" w14:textId="5432710D" w:rsidR="009D097C" w:rsidRDefault="00E93941" w:rsidP="006817F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substantially complies with a program or practice</w:t>
            </w:r>
            <w:r>
              <w:t xml:space="preserve"> manual or design that specifies the purpose, outcome, duration, and frequency of the program or practice services; and</w:t>
            </w:r>
          </w:p>
          <w:p w14:paraId="4925F5C8" w14:textId="0D77ECB1" w:rsidR="009D097C" w:rsidRDefault="00E93941" w:rsidP="006817F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employs well-trained and competent staff and provides continual relevant professional development opportunities to the staff.</w:t>
            </w:r>
          </w:p>
          <w:p w14:paraId="1DC2F9B2" w14:textId="7F237FA9" w:rsidR="009E341E" w:rsidRDefault="00E93941" w:rsidP="006817F5">
            <w:pPr>
              <w:pStyle w:val="Header"/>
              <w:jc w:val="both"/>
            </w:pPr>
            <w:r>
              <w:t>The bill r</w:t>
            </w:r>
            <w:r>
              <w:t xml:space="preserve">evises the outcome </w:t>
            </w:r>
            <w:r w:rsidRPr="009D097C">
              <w:t>requirements for evidence-based prevention and early intervention programs and practices</w:t>
            </w:r>
            <w:r>
              <w:t xml:space="preserve"> to do as follows:</w:t>
            </w:r>
          </w:p>
          <w:p w14:paraId="038B762B" w14:textId="4B951D2C" w:rsidR="009E341E" w:rsidRDefault="00E93941" w:rsidP="006817F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clarify that the outcome related to increased school readiness applies to increased readiness for and participation</w:t>
            </w:r>
            <w:r w:rsidR="00B96A40">
              <w:t xml:space="preserve"> and performance</w:t>
            </w:r>
            <w:r>
              <w:t xml:space="preserve"> in school;</w:t>
            </w:r>
          </w:p>
          <w:p w14:paraId="4FCDA805" w14:textId="218302ED" w:rsidR="009E341E" w:rsidRDefault="00E93941" w:rsidP="006817F5">
            <w:pPr>
              <w:pStyle w:val="Header"/>
              <w:numPr>
                <w:ilvl w:val="0"/>
                <w:numId w:val="3"/>
              </w:numPr>
              <w:jc w:val="both"/>
            </w:pPr>
            <w:r>
              <w:t>clarify that the outcome related to parenting skills such as nurturing and bonding applies to increased protective factors, including nurturing, bonding, and other parenting skills;</w:t>
            </w:r>
            <w:r w:rsidR="00123402">
              <w:t xml:space="preserve"> and</w:t>
            </w:r>
          </w:p>
          <w:p w14:paraId="153C7768" w14:textId="77777777" w:rsidR="008423E4" w:rsidRPr="006817F5" w:rsidRDefault="00E93941" w:rsidP="006817F5">
            <w:pPr>
              <w:pStyle w:val="Header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include reduced youth involvement with the criminal justi</w:t>
            </w:r>
            <w:r>
              <w:t>ce system</w:t>
            </w:r>
            <w:r w:rsidR="009D097C">
              <w:t xml:space="preserve">. </w:t>
            </w:r>
            <w:r>
              <w:t xml:space="preserve"> </w:t>
            </w:r>
          </w:p>
          <w:p w14:paraId="322CF4FF" w14:textId="53418FF4" w:rsidR="00744CEF" w:rsidRPr="00835628" w:rsidRDefault="00744CEF" w:rsidP="006817F5">
            <w:pPr>
              <w:pStyle w:val="Header"/>
              <w:jc w:val="both"/>
              <w:rPr>
                <w:b/>
              </w:rPr>
            </w:pPr>
          </w:p>
        </w:tc>
      </w:tr>
      <w:tr w:rsidR="005D2604" w14:paraId="77E37094" w14:textId="77777777" w:rsidTr="00345119">
        <w:tc>
          <w:tcPr>
            <w:tcW w:w="9576" w:type="dxa"/>
          </w:tcPr>
          <w:p w14:paraId="2F56A234" w14:textId="77777777" w:rsidR="008423E4" w:rsidRPr="00A8133F" w:rsidRDefault="00E93941" w:rsidP="006817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9998148" w14:textId="77777777" w:rsidR="008423E4" w:rsidRDefault="008423E4" w:rsidP="006817F5"/>
          <w:p w14:paraId="01017037" w14:textId="3C390AC8" w:rsidR="008423E4" w:rsidRPr="003624F2" w:rsidRDefault="00E93941" w:rsidP="006817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F3AA547" w14:textId="77777777" w:rsidR="008423E4" w:rsidRPr="00233FDB" w:rsidRDefault="008423E4" w:rsidP="006817F5">
            <w:pPr>
              <w:rPr>
                <w:b/>
              </w:rPr>
            </w:pPr>
          </w:p>
        </w:tc>
      </w:tr>
      <w:tr w:rsidR="005D2604" w14:paraId="188D0844" w14:textId="77777777" w:rsidTr="00345119">
        <w:tc>
          <w:tcPr>
            <w:tcW w:w="9576" w:type="dxa"/>
          </w:tcPr>
          <w:p w14:paraId="6B62D6A9" w14:textId="77777777" w:rsidR="00E544AF" w:rsidRDefault="00E93941" w:rsidP="006817F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5BD18EBC" w14:textId="77777777" w:rsidR="008567A2" w:rsidRDefault="008567A2" w:rsidP="006817F5">
            <w:pPr>
              <w:jc w:val="both"/>
            </w:pPr>
          </w:p>
          <w:p w14:paraId="52FBD131" w14:textId="43AD1545" w:rsidR="008567A2" w:rsidRDefault="00E93941" w:rsidP="006817F5">
            <w:pPr>
              <w:jc w:val="both"/>
            </w:pPr>
            <w:r>
              <w:t>While C.S.S.B. 452 may differ from the engrossed in minor or nonsubstantive ways, the following summarizes the substantial differences between the engrossed</w:t>
            </w:r>
            <w:r>
              <w:t xml:space="preserve"> and committee substitute versions of the bill.</w:t>
            </w:r>
          </w:p>
          <w:p w14:paraId="6215DFB1" w14:textId="0A5A21F6" w:rsidR="008567A2" w:rsidRDefault="008567A2" w:rsidP="006817F5">
            <w:pPr>
              <w:jc w:val="both"/>
            </w:pPr>
          </w:p>
          <w:p w14:paraId="3ED580F5" w14:textId="7B0D50BF" w:rsidR="00A063DE" w:rsidRDefault="00E93941" w:rsidP="006817F5">
            <w:pPr>
              <w:jc w:val="both"/>
            </w:pPr>
            <w:r>
              <w:t>Whereas the engrossed included home visitation programs among the programs subject to a requirement that DFPS ensure that not less than 75 percent of the money appropriated fund</w:t>
            </w:r>
            <w:r w:rsidR="00163A90">
              <w:t>s</w:t>
            </w:r>
            <w:r>
              <w:t xml:space="preserve"> evidence-based programs or p</w:t>
            </w:r>
            <w:r>
              <w:t>ractices</w:t>
            </w:r>
            <w:r w:rsidR="00163A90">
              <w:t>,</w:t>
            </w:r>
            <w:r>
              <w:t xml:space="preserve"> </w:t>
            </w:r>
            <w:r w:rsidR="00163A90">
              <w:t>the substitute does not</w:t>
            </w:r>
            <w:r>
              <w:t>.</w:t>
            </w:r>
          </w:p>
          <w:p w14:paraId="1B83DA7E" w14:textId="77777777" w:rsidR="00A063DE" w:rsidRDefault="00A063DE" w:rsidP="006817F5">
            <w:pPr>
              <w:jc w:val="both"/>
            </w:pPr>
          </w:p>
          <w:p w14:paraId="31A59BCE" w14:textId="4A893D33" w:rsidR="00C4284E" w:rsidRDefault="00E93941" w:rsidP="006817F5">
            <w:pPr>
              <w:jc w:val="both"/>
            </w:pPr>
            <w:r>
              <w:t xml:space="preserve">The substitute </w:t>
            </w:r>
            <w:r w:rsidR="00550520">
              <w:t>does not include p</w:t>
            </w:r>
            <w:r w:rsidR="00A9527E">
              <w:t>rovision</w:t>
            </w:r>
            <w:r w:rsidR="00550520">
              <w:t>s</w:t>
            </w:r>
            <w:r w:rsidR="00A9527E">
              <w:t xml:space="preserve"> whi</w:t>
            </w:r>
            <w:r w:rsidR="00550520">
              <w:t>ch were</w:t>
            </w:r>
            <w:r w:rsidR="00A9527E">
              <w:t xml:space="preserve"> in the engrossed establishing </w:t>
            </w:r>
            <w:r>
              <w:t xml:space="preserve">the following criteria for a program or practice to be considered </w:t>
            </w:r>
            <w:r w:rsidR="00A9527E">
              <w:t xml:space="preserve">an evidence-based </w:t>
            </w:r>
            <w:r w:rsidR="00550520">
              <w:t>or promising program or practice</w:t>
            </w:r>
            <w:r>
              <w:t>:</w:t>
            </w:r>
            <w:r w:rsidR="00A9527E">
              <w:t xml:space="preserve"> </w:t>
            </w:r>
          </w:p>
          <w:p w14:paraId="15E3CB9A" w14:textId="6AF0EB43" w:rsidR="00A063DE" w:rsidRDefault="00E93941" w:rsidP="006817F5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that it be</w:t>
            </w:r>
            <w:r w:rsidR="00A9527E">
              <w:t xml:space="preserve"> </w:t>
            </w:r>
            <w:r w:rsidR="00A9527E" w:rsidRPr="00A9527E">
              <w:t>listed as an evidence-based program or practice</w:t>
            </w:r>
            <w:r w:rsidR="00550520">
              <w:t xml:space="preserve"> or promising program or practice, as applicable,</w:t>
            </w:r>
            <w:r w:rsidR="00A9527E" w:rsidRPr="00A9527E">
              <w:t xml:space="preserve"> by a nationally recognized clearinghouse associated with a state or federal agency or an institution of higher education or, during the preceding 10 years, </w:t>
            </w:r>
            <w:r w:rsidR="00550520">
              <w:t>has been subject to a certain number of</w:t>
            </w:r>
            <w:r w:rsidR="00A9527E" w:rsidRPr="00A9527E">
              <w:t xml:space="preserve"> external evaluations that showed positive results and were published in peer-reviewed literature</w:t>
            </w:r>
            <w:r>
              <w:t>; and</w:t>
            </w:r>
          </w:p>
          <w:p w14:paraId="3F8D410C" w14:textId="3657D18D" w:rsidR="008567A2" w:rsidRDefault="00E93941" w:rsidP="006817F5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that it demonstrate substantial connections to other community-based services</w:t>
            </w:r>
            <w:r w:rsidR="00550520" w:rsidRPr="00550520">
              <w:t>.</w:t>
            </w:r>
            <w:r w:rsidR="00550520">
              <w:t xml:space="preserve"> </w:t>
            </w:r>
          </w:p>
          <w:p w14:paraId="5097DDC0" w14:textId="56BED1D4" w:rsidR="00550520" w:rsidRDefault="00550520" w:rsidP="006817F5">
            <w:pPr>
              <w:jc w:val="both"/>
            </w:pPr>
          </w:p>
          <w:p w14:paraId="6E855AB6" w14:textId="04A44DB4" w:rsidR="00CB032E" w:rsidRDefault="00E93941" w:rsidP="006817F5">
            <w:pPr>
              <w:jc w:val="both"/>
            </w:pPr>
            <w:r>
              <w:t>Whereas t</w:t>
            </w:r>
            <w:r w:rsidR="00550520">
              <w:t xml:space="preserve">he </w:t>
            </w:r>
            <w:r w:rsidR="00301DF9">
              <w:t xml:space="preserve">engrossed </w:t>
            </w:r>
            <w:r>
              <w:t>removed existing cri</w:t>
            </w:r>
            <w:r>
              <w:t>teria for a program or practice to be</w:t>
            </w:r>
            <w:r w:rsidRPr="00CB032E">
              <w:t xml:space="preserve"> evaluated by at least one rigorous, random, controlled research trial across heterogeneous populations or communities with research results that have been published in a peer-reviewed journal</w:t>
            </w:r>
            <w:r w:rsidR="000A22B7">
              <w:t xml:space="preserve"> or </w:t>
            </w:r>
            <w:r>
              <w:t>be</w:t>
            </w:r>
            <w:r w:rsidR="000A22B7" w:rsidRPr="000A22B7">
              <w:t xml:space="preserve"> evaluated by at least one outcome-based study demonstrating effectiveness or random, controlled trial in a homogeneous sample</w:t>
            </w:r>
            <w:r w:rsidR="000A22B7">
              <w:t>, as applicable</w:t>
            </w:r>
            <w:r>
              <w:t>, to be considered an evidence-based program or practice or</w:t>
            </w:r>
            <w:r w:rsidR="00E93356">
              <w:t xml:space="preserve"> a</w:t>
            </w:r>
            <w:r>
              <w:t xml:space="preserve"> promising program or practice, the </w:t>
            </w:r>
            <w:r w:rsidR="00301DF9">
              <w:t xml:space="preserve">substitute </w:t>
            </w:r>
            <w:r>
              <w:t>retains that statutory langu</w:t>
            </w:r>
            <w:r>
              <w:t>age</w:t>
            </w:r>
            <w:r w:rsidR="000A22B7">
              <w:t xml:space="preserve">. </w:t>
            </w:r>
          </w:p>
          <w:p w14:paraId="1B3D5FBA" w14:textId="7C22BFE9" w:rsidR="000A22B7" w:rsidRDefault="000A22B7" w:rsidP="006817F5"/>
          <w:p w14:paraId="3B0BEC2E" w14:textId="290E16FA" w:rsidR="005878EA" w:rsidRPr="00CB032E" w:rsidRDefault="00E93941" w:rsidP="006817F5">
            <w:pPr>
              <w:jc w:val="both"/>
            </w:pPr>
            <w:r>
              <w:t xml:space="preserve">The substitute does not include </w:t>
            </w:r>
            <w:r w:rsidR="003318A8">
              <w:t xml:space="preserve">as potential favorable outcomes required to be ensured by DFPS for a prevention and early intervention program or practice improved </w:t>
            </w:r>
            <w:r>
              <w:t>maternal and child health and increased protective factors for youth</w:t>
            </w:r>
            <w:r w:rsidR="00B21A75">
              <w:t>, whereas the engrossed included these outcomes</w:t>
            </w:r>
            <w:r>
              <w:t xml:space="preserve">. </w:t>
            </w:r>
          </w:p>
          <w:p w14:paraId="718487CE" w14:textId="680EB1FA" w:rsidR="00550520" w:rsidRDefault="00E93941" w:rsidP="006817F5">
            <w:pPr>
              <w:jc w:val="both"/>
            </w:pPr>
            <w:r>
              <w:t xml:space="preserve">  </w:t>
            </w:r>
          </w:p>
          <w:p w14:paraId="49D20169" w14:textId="68B80DB1" w:rsidR="008567A2" w:rsidRPr="008567A2" w:rsidRDefault="008567A2" w:rsidP="006817F5">
            <w:pPr>
              <w:jc w:val="both"/>
            </w:pPr>
          </w:p>
        </w:tc>
      </w:tr>
      <w:tr w:rsidR="005D2604" w14:paraId="3804D9AF" w14:textId="77777777" w:rsidTr="00345119">
        <w:tc>
          <w:tcPr>
            <w:tcW w:w="9576" w:type="dxa"/>
          </w:tcPr>
          <w:p w14:paraId="7582DA7D" w14:textId="77777777" w:rsidR="00E544AF" w:rsidRPr="009C1E9A" w:rsidRDefault="00E544AF" w:rsidP="006817F5">
            <w:pPr>
              <w:rPr>
                <w:b/>
                <w:u w:val="single"/>
              </w:rPr>
            </w:pPr>
          </w:p>
        </w:tc>
      </w:tr>
      <w:tr w:rsidR="005D2604" w14:paraId="391BDF19" w14:textId="77777777" w:rsidTr="00345119">
        <w:tc>
          <w:tcPr>
            <w:tcW w:w="9576" w:type="dxa"/>
          </w:tcPr>
          <w:p w14:paraId="2D1FD42F" w14:textId="77777777" w:rsidR="00E544AF" w:rsidRPr="00E544AF" w:rsidRDefault="00E544AF" w:rsidP="006817F5">
            <w:pPr>
              <w:jc w:val="both"/>
            </w:pPr>
          </w:p>
        </w:tc>
      </w:tr>
    </w:tbl>
    <w:p w14:paraId="7D4A9B9E" w14:textId="77777777" w:rsidR="008423E4" w:rsidRPr="00BE0E75" w:rsidRDefault="008423E4" w:rsidP="006817F5">
      <w:pPr>
        <w:jc w:val="both"/>
        <w:rPr>
          <w:rFonts w:ascii="Arial" w:hAnsi="Arial"/>
          <w:sz w:val="16"/>
          <w:szCs w:val="16"/>
        </w:rPr>
      </w:pPr>
    </w:p>
    <w:p w14:paraId="3240FEED" w14:textId="77777777" w:rsidR="004108C3" w:rsidRPr="008423E4" w:rsidRDefault="004108C3" w:rsidP="006817F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43B8F" w14:textId="77777777" w:rsidR="00000000" w:rsidRDefault="00E93941">
      <w:r>
        <w:separator/>
      </w:r>
    </w:p>
  </w:endnote>
  <w:endnote w:type="continuationSeparator" w:id="0">
    <w:p w14:paraId="6AB1AE85" w14:textId="77777777" w:rsidR="00000000" w:rsidRDefault="00E9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A94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2604" w14:paraId="6D3A9311" w14:textId="77777777" w:rsidTr="009C1E9A">
      <w:trPr>
        <w:cantSplit/>
      </w:trPr>
      <w:tc>
        <w:tcPr>
          <w:tcW w:w="0" w:type="pct"/>
        </w:tcPr>
        <w:p w14:paraId="57CEDF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6CFD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361C9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F4BB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C08E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2604" w14:paraId="1C00B391" w14:textId="77777777" w:rsidTr="009C1E9A">
      <w:trPr>
        <w:cantSplit/>
      </w:trPr>
      <w:tc>
        <w:tcPr>
          <w:tcW w:w="0" w:type="pct"/>
        </w:tcPr>
        <w:p w14:paraId="7B28E9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92330E" w14:textId="77777777" w:rsidR="00EC379B" w:rsidRPr="009C1E9A" w:rsidRDefault="00E939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28569</w:t>
          </w:r>
        </w:p>
      </w:tc>
      <w:tc>
        <w:tcPr>
          <w:tcW w:w="2453" w:type="pct"/>
        </w:tcPr>
        <w:p w14:paraId="62BD8769" w14:textId="0DFDB934" w:rsidR="00EC379B" w:rsidRDefault="00E93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1131E">
            <w:t>21.142.63</w:t>
          </w:r>
          <w:r>
            <w:fldChar w:fldCharType="end"/>
          </w:r>
        </w:p>
      </w:tc>
    </w:tr>
    <w:tr w:rsidR="005D2604" w14:paraId="4A82DF19" w14:textId="77777777" w:rsidTr="009C1E9A">
      <w:trPr>
        <w:cantSplit/>
      </w:trPr>
      <w:tc>
        <w:tcPr>
          <w:tcW w:w="0" w:type="pct"/>
        </w:tcPr>
        <w:p w14:paraId="61F595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567939F" w14:textId="77777777" w:rsidR="00EC379B" w:rsidRPr="009C1E9A" w:rsidRDefault="00E939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28394</w:t>
          </w:r>
        </w:p>
      </w:tc>
      <w:tc>
        <w:tcPr>
          <w:tcW w:w="2453" w:type="pct"/>
        </w:tcPr>
        <w:p w14:paraId="1196F2D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EDC3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2604" w14:paraId="27DF40C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B5A72A" w14:textId="05DB7684" w:rsidR="00EC379B" w:rsidRDefault="00E939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817F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8DAAB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C4A5A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1E3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075C" w14:textId="77777777" w:rsidR="00000000" w:rsidRDefault="00E93941">
      <w:r>
        <w:separator/>
      </w:r>
    </w:p>
  </w:footnote>
  <w:footnote w:type="continuationSeparator" w:id="0">
    <w:p w14:paraId="028F8265" w14:textId="77777777" w:rsidR="00000000" w:rsidRDefault="00E9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1C5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2BF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D27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7562"/>
    <w:multiLevelType w:val="hybridMultilevel"/>
    <w:tmpl w:val="1BD2B420"/>
    <w:lvl w:ilvl="0" w:tplc="05FCE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A8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A6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80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4A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82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E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A6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0F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4F92"/>
    <w:multiLevelType w:val="hybridMultilevel"/>
    <w:tmpl w:val="9AF4FBA4"/>
    <w:lvl w:ilvl="0" w:tplc="7A4C1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C2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A3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8A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04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283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21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80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C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385C"/>
    <w:multiLevelType w:val="hybridMultilevel"/>
    <w:tmpl w:val="E4006CFA"/>
    <w:lvl w:ilvl="0" w:tplc="51189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8A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2E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D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C1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20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5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83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EA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029D"/>
    <w:multiLevelType w:val="hybridMultilevel"/>
    <w:tmpl w:val="C798B2E2"/>
    <w:lvl w:ilvl="0" w:tplc="A0EA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6A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27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CB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6A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EA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E4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4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42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A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2B7"/>
    <w:rsid w:val="000A4893"/>
    <w:rsid w:val="000A49F0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B55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40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A90"/>
    <w:rsid w:val="00163E45"/>
    <w:rsid w:val="001664C2"/>
    <w:rsid w:val="00171001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0C59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166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8E5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DF9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8A8"/>
    <w:rsid w:val="00331A66"/>
    <w:rsid w:val="00333930"/>
    <w:rsid w:val="00336259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880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31E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6DE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FC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1E2"/>
    <w:rsid w:val="005304B2"/>
    <w:rsid w:val="005336BD"/>
    <w:rsid w:val="00534A49"/>
    <w:rsid w:val="005363BB"/>
    <w:rsid w:val="00541B98"/>
    <w:rsid w:val="00543374"/>
    <w:rsid w:val="00545548"/>
    <w:rsid w:val="00546923"/>
    <w:rsid w:val="00546E81"/>
    <w:rsid w:val="00550520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878EA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60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40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7F5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70B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06D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4CEF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C9B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7A2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D19"/>
    <w:rsid w:val="00907780"/>
    <w:rsid w:val="00907EDD"/>
    <w:rsid w:val="009107AD"/>
    <w:rsid w:val="009147B0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D25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97C"/>
    <w:rsid w:val="009D37C7"/>
    <w:rsid w:val="009D4BBD"/>
    <w:rsid w:val="009D5A41"/>
    <w:rsid w:val="009E13BF"/>
    <w:rsid w:val="009E341E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638"/>
    <w:rsid w:val="00A01E10"/>
    <w:rsid w:val="00A02D81"/>
    <w:rsid w:val="00A03F54"/>
    <w:rsid w:val="00A0432D"/>
    <w:rsid w:val="00A063DE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4B7"/>
    <w:rsid w:val="00A41085"/>
    <w:rsid w:val="00A425FA"/>
    <w:rsid w:val="00A43960"/>
    <w:rsid w:val="00A46902"/>
    <w:rsid w:val="00A5074A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5D2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27E"/>
    <w:rsid w:val="00A95D51"/>
    <w:rsid w:val="00AA18AE"/>
    <w:rsid w:val="00AA228B"/>
    <w:rsid w:val="00AA51C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A7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A68"/>
    <w:rsid w:val="00B90097"/>
    <w:rsid w:val="00B90999"/>
    <w:rsid w:val="00B91AD7"/>
    <w:rsid w:val="00B92D23"/>
    <w:rsid w:val="00B95BC8"/>
    <w:rsid w:val="00B96A40"/>
    <w:rsid w:val="00B96E87"/>
    <w:rsid w:val="00BA146A"/>
    <w:rsid w:val="00BA32EE"/>
    <w:rsid w:val="00BB343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DE5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80A"/>
    <w:rsid w:val="00C2766F"/>
    <w:rsid w:val="00C3223B"/>
    <w:rsid w:val="00C333C6"/>
    <w:rsid w:val="00C35CC5"/>
    <w:rsid w:val="00C361C5"/>
    <w:rsid w:val="00C377D1"/>
    <w:rsid w:val="00C37BDA"/>
    <w:rsid w:val="00C37C84"/>
    <w:rsid w:val="00C4284E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F20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32E"/>
    <w:rsid w:val="00CB0AE4"/>
    <w:rsid w:val="00CB0C21"/>
    <w:rsid w:val="00CB0D1A"/>
    <w:rsid w:val="00CB311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6DA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5C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D58"/>
    <w:rsid w:val="00DF252D"/>
    <w:rsid w:val="00DF2707"/>
    <w:rsid w:val="00DF4D90"/>
    <w:rsid w:val="00DF5EB3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4AF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356"/>
    <w:rsid w:val="00E93941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745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43B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BC5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6AA"/>
    <w:rsid w:val="00FB73AE"/>
    <w:rsid w:val="00FC5388"/>
    <w:rsid w:val="00FC726C"/>
    <w:rsid w:val="00FD1B4B"/>
    <w:rsid w:val="00FD1B94"/>
    <w:rsid w:val="00FD288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0B816E-701F-4250-A2BA-44064947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07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7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430"/>
    <w:rPr>
      <w:b/>
      <w:bCs/>
    </w:rPr>
  </w:style>
  <w:style w:type="character" w:styleId="Hyperlink">
    <w:name w:val="Hyperlink"/>
    <w:basedOn w:val="DefaultParagraphFont"/>
    <w:unhideWhenUsed/>
    <w:rsid w:val="00856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4751</Characters>
  <Application>Microsoft Office Word</Application>
  <DocSecurity>4</DocSecurity>
  <Lines>105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SB00452 (Committee Report (Substituted))</vt:lpstr>
    </vt:vector>
  </TitlesOfParts>
  <Company>State of Texas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28569</dc:subject>
  <dc:creator>State of Texas</dc:creator>
  <dc:description>SB 452 by West-(H)Human Services (Substitute Document Number: 87R 28394)</dc:description>
  <cp:lastModifiedBy>Damian Duarte</cp:lastModifiedBy>
  <cp:revision>2</cp:revision>
  <cp:lastPrinted>2003-11-26T17:21:00Z</cp:lastPrinted>
  <dcterms:created xsi:type="dcterms:W3CDTF">2021-05-22T21:50:00Z</dcterms:created>
  <dcterms:modified xsi:type="dcterms:W3CDTF">2021-05-22T21:50:00Z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21.142.63</vt:lpwstr>
  </property>
</Properties>
</file>