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E0AC9" w14:paraId="5FC0C253" w14:textId="77777777" w:rsidTr="00345119">
        <w:tc>
          <w:tcPr>
            <w:tcW w:w="9576" w:type="dxa"/>
            <w:noWrap/>
          </w:tcPr>
          <w:p w14:paraId="14857AB2" w14:textId="77777777" w:rsidR="008423E4" w:rsidRPr="0022177D" w:rsidRDefault="00EC507D" w:rsidP="00EE7C6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EBC4D2" w14:textId="77777777" w:rsidR="008423E4" w:rsidRPr="0022177D" w:rsidRDefault="008423E4" w:rsidP="00EE7C6B">
      <w:pPr>
        <w:jc w:val="center"/>
      </w:pPr>
    </w:p>
    <w:p w14:paraId="6FEA5785" w14:textId="77777777" w:rsidR="008423E4" w:rsidRPr="00B31F0E" w:rsidRDefault="008423E4" w:rsidP="00EE7C6B"/>
    <w:p w14:paraId="0C2C821B" w14:textId="77777777" w:rsidR="008423E4" w:rsidRPr="00742794" w:rsidRDefault="008423E4" w:rsidP="00EE7C6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E0AC9" w14:paraId="560E7035" w14:textId="77777777" w:rsidTr="00345119">
        <w:tc>
          <w:tcPr>
            <w:tcW w:w="9576" w:type="dxa"/>
          </w:tcPr>
          <w:p w14:paraId="2287FD55" w14:textId="0113E48D" w:rsidR="008423E4" w:rsidRPr="00861995" w:rsidRDefault="00EC507D" w:rsidP="00EE7C6B">
            <w:pPr>
              <w:jc w:val="right"/>
            </w:pPr>
            <w:r>
              <w:t>C.S.S.B. 572</w:t>
            </w:r>
          </w:p>
        </w:tc>
      </w:tr>
      <w:tr w:rsidR="000E0AC9" w14:paraId="52DA0CF9" w14:textId="77777777" w:rsidTr="00345119">
        <w:tc>
          <w:tcPr>
            <w:tcW w:w="9576" w:type="dxa"/>
          </w:tcPr>
          <w:p w14:paraId="02F3824A" w14:textId="49149C59" w:rsidR="008423E4" w:rsidRPr="00861995" w:rsidRDefault="00EC507D" w:rsidP="00EE7C6B">
            <w:pPr>
              <w:jc w:val="right"/>
            </w:pPr>
            <w:r>
              <w:t xml:space="preserve">By: </w:t>
            </w:r>
            <w:r w:rsidR="00287754">
              <w:t>Springer</w:t>
            </w:r>
          </w:p>
        </w:tc>
      </w:tr>
      <w:tr w:rsidR="000E0AC9" w14:paraId="6E7F8D89" w14:textId="77777777" w:rsidTr="00345119">
        <w:tc>
          <w:tcPr>
            <w:tcW w:w="9576" w:type="dxa"/>
          </w:tcPr>
          <w:p w14:paraId="1230A03A" w14:textId="473DC99B" w:rsidR="008423E4" w:rsidRPr="00861995" w:rsidRDefault="00EC507D" w:rsidP="00EE7C6B">
            <w:pPr>
              <w:jc w:val="right"/>
            </w:pPr>
            <w:r>
              <w:t>Public Health</w:t>
            </w:r>
          </w:p>
        </w:tc>
      </w:tr>
      <w:tr w:rsidR="000E0AC9" w14:paraId="0E449DD4" w14:textId="77777777" w:rsidTr="00345119">
        <w:tc>
          <w:tcPr>
            <w:tcW w:w="9576" w:type="dxa"/>
          </w:tcPr>
          <w:p w14:paraId="2E65B103" w14:textId="7BECA1F5" w:rsidR="008423E4" w:rsidRDefault="00EC507D" w:rsidP="00EE7C6B">
            <w:pPr>
              <w:jc w:val="right"/>
            </w:pPr>
            <w:r>
              <w:t>Committee Report (Substituted)</w:t>
            </w:r>
          </w:p>
        </w:tc>
      </w:tr>
    </w:tbl>
    <w:p w14:paraId="79678A68" w14:textId="77777777" w:rsidR="008423E4" w:rsidRDefault="008423E4" w:rsidP="00EE7C6B">
      <w:pPr>
        <w:tabs>
          <w:tab w:val="right" w:pos="9360"/>
        </w:tabs>
      </w:pPr>
    </w:p>
    <w:p w14:paraId="1435A10F" w14:textId="77777777" w:rsidR="008423E4" w:rsidRDefault="008423E4" w:rsidP="00EE7C6B"/>
    <w:p w14:paraId="687077DD" w14:textId="77777777" w:rsidR="008423E4" w:rsidRDefault="008423E4" w:rsidP="00EE7C6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E0AC9" w14:paraId="5A135392" w14:textId="77777777" w:rsidTr="00345119">
        <w:tc>
          <w:tcPr>
            <w:tcW w:w="9576" w:type="dxa"/>
          </w:tcPr>
          <w:p w14:paraId="3DB35B10" w14:textId="77777777" w:rsidR="008423E4" w:rsidRPr="00A8133F" w:rsidRDefault="00EC507D" w:rsidP="00EE7C6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4B93F5E" w14:textId="77777777" w:rsidR="008423E4" w:rsidRDefault="008423E4" w:rsidP="00EE7C6B"/>
          <w:p w14:paraId="71C0C8B8" w14:textId="452E7C21" w:rsidR="008423E4" w:rsidRDefault="00EC507D" w:rsidP="00EE7C6B">
            <w:pPr>
              <w:pStyle w:val="Header"/>
              <w:jc w:val="both"/>
            </w:pPr>
            <w:r>
              <w:t>Because of visitation restrictions imposed during the COVID-19 pandemic</w:t>
            </w:r>
            <w:r w:rsidR="0021597A">
              <w:t>, patients</w:t>
            </w:r>
            <w:r>
              <w:t xml:space="preserve"> and residents of many health care facilities were prevented from receiving in-person visits from clergy or other religious counselors during stressful and end-of-life situations. </w:t>
            </w:r>
            <w:r w:rsidR="007C7F5E">
              <w:t>There are concerns that these visitation restrictions constitute a</w:t>
            </w:r>
            <w:r>
              <w:t xml:space="preserve"> deni</w:t>
            </w:r>
            <w:r w:rsidR="007C7F5E">
              <w:t>al</w:t>
            </w:r>
            <w:r>
              <w:t xml:space="preserve"> </w:t>
            </w:r>
            <w:r w:rsidR="007C7F5E">
              <w:t>of residents' and patients' First</w:t>
            </w:r>
            <w:r>
              <w:t xml:space="preserve"> Amendment </w:t>
            </w:r>
            <w:r w:rsidR="007C7F5E">
              <w:t>rights to the free exercise of religion</w:t>
            </w:r>
            <w:r>
              <w:t xml:space="preserve">. </w:t>
            </w:r>
            <w:r w:rsidR="007C7F5E">
              <w:t>C.S.S.B. 572 seeks to</w:t>
            </w:r>
            <w:r>
              <w:t xml:space="preserve"> resolve this issue by </w:t>
            </w:r>
            <w:r w:rsidR="007C7F5E">
              <w:t>prohibiting</w:t>
            </w:r>
            <w:r w:rsidR="007C7F5E" w:rsidRPr="007C7F5E">
              <w:t xml:space="preserve"> health care facilit</w:t>
            </w:r>
            <w:r w:rsidR="007C7F5E">
              <w:t>ies from</w:t>
            </w:r>
            <w:r w:rsidR="007C7F5E" w:rsidRPr="007C7F5E">
              <w:t xml:space="preserve"> prohibit</w:t>
            </w:r>
            <w:r w:rsidR="002C192C">
              <w:t>ing</w:t>
            </w:r>
            <w:r w:rsidR="007C7F5E" w:rsidRPr="007C7F5E">
              <w:t xml:space="preserve"> a resident or patient from receiving in-person visitation with a religious counselor </w:t>
            </w:r>
            <w:r w:rsidR="002C192C">
              <w:t>at</w:t>
            </w:r>
            <w:r w:rsidR="007C7F5E" w:rsidRPr="007C7F5E">
              <w:t xml:space="preserve"> the resident's</w:t>
            </w:r>
            <w:r w:rsidR="00DD050A">
              <w:t xml:space="preserve"> or patient's</w:t>
            </w:r>
            <w:r w:rsidR="007C7F5E" w:rsidRPr="007C7F5E">
              <w:t xml:space="preserve"> request during a public health emergency</w:t>
            </w:r>
            <w:r w:rsidR="007C7F5E">
              <w:t xml:space="preserve"> while also </w:t>
            </w:r>
            <w:r>
              <w:t xml:space="preserve">allowing </w:t>
            </w:r>
            <w:r w:rsidR="007C7F5E">
              <w:t xml:space="preserve">these facilities </w:t>
            </w:r>
            <w:r>
              <w:t xml:space="preserve">to develop </w:t>
            </w:r>
            <w:r w:rsidR="007C7F5E">
              <w:t xml:space="preserve">safeguards </w:t>
            </w:r>
            <w:r>
              <w:t xml:space="preserve">to </w:t>
            </w:r>
            <w:r w:rsidR="007C7F5E">
              <w:t>protect the health and safety of all parties involved and mitigate the spread of a communicable disease.</w:t>
            </w:r>
          </w:p>
          <w:p w14:paraId="0BE1374E" w14:textId="77777777" w:rsidR="008423E4" w:rsidRPr="00E26B13" w:rsidRDefault="008423E4" w:rsidP="00EE7C6B">
            <w:pPr>
              <w:rPr>
                <w:b/>
              </w:rPr>
            </w:pPr>
          </w:p>
        </w:tc>
      </w:tr>
      <w:tr w:rsidR="000E0AC9" w14:paraId="5060479A" w14:textId="77777777" w:rsidTr="00345119">
        <w:tc>
          <w:tcPr>
            <w:tcW w:w="9576" w:type="dxa"/>
          </w:tcPr>
          <w:p w14:paraId="3279F6A2" w14:textId="77777777" w:rsidR="0017725B" w:rsidRDefault="00EC507D" w:rsidP="00EE7C6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</w:t>
            </w:r>
            <w:r>
              <w:rPr>
                <w:b/>
                <w:u w:val="single"/>
              </w:rPr>
              <w:t>L JUSTICE IMPACT</w:t>
            </w:r>
          </w:p>
          <w:p w14:paraId="0BF78297" w14:textId="77777777" w:rsidR="0017725B" w:rsidRDefault="0017725B" w:rsidP="00EE7C6B">
            <w:pPr>
              <w:rPr>
                <w:b/>
                <w:u w:val="single"/>
              </w:rPr>
            </w:pPr>
          </w:p>
          <w:p w14:paraId="31599740" w14:textId="77777777" w:rsidR="00D51CB8" w:rsidRPr="00D51CB8" w:rsidRDefault="00EC507D" w:rsidP="00EE7C6B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14:paraId="550C3529" w14:textId="77777777" w:rsidR="0017725B" w:rsidRPr="0017725B" w:rsidRDefault="0017725B" w:rsidP="00EE7C6B">
            <w:pPr>
              <w:rPr>
                <w:b/>
                <w:u w:val="single"/>
              </w:rPr>
            </w:pPr>
          </w:p>
        </w:tc>
      </w:tr>
      <w:tr w:rsidR="000E0AC9" w14:paraId="35015719" w14:textId="77777777" w:rsidTr="00345119">
        <w:tc>
          <w:tcPr>
            <w:tcW w:w="9576" w:type="dxa"/>
          </w:tcPr>
          <w:p w14:paraId="18A7B364" w14:textId="77777777" w:rsidR="008423E4" w:rsidRPr="00A8133F" w:rsidRDefault="00EC507D" w:rsidP="00EE7C6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499D200" w14:textId="77777777" w:rsidR="008423E4" w:rsidRDefault="008423E4" w:rsidP="00EE7C6B"/>
          <w:p w14:paraId="4C1A3F90" w14:textId="77777777" w:rsidR="00D51CB8" w:rsidRDefault="00EC507D" w:rsidP="00EE7C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D51CB8">
              <w:t xml:space="preserve">executive commissioner </w:t>
            </w:r>
            <w:r>
              <w:t>of the Health and Human Services Commission in SECTION 2 of this bill.</w:t>
            </w:r>
          </w:p>
          <w:p w14:paraId="26055101" w14:textId="77777777" w:rsidR="008423E4" w:rsidRPr="00E21FDC" w:rsidRDefault="008423E4" w:rsidP="00EE7C6B">
            <w:pPr>
              <w:rPr>
                <w:b/>
              </w:rPr>
            </w:pPr>
          </w:p>
        </w:tc>
      </w:tr>
      <w:tr w:rsidR="000E0AC9" w14:paraId="2EBF3B02" w14:textId="77777777" w:rsidTr="00345119">
        <w:tc>
          <w:tcPr>
            <w:tcW w:w="9576" w:type="dxa"/>
          </w:tcPr>
          <w:p w14:paraId="0F773BB8" w14:textId="77777777" w:rsidR="008423E4" w:rsidRPr="00A8133F" w:rsidRDefault="00EC507D" w:rsidP="00EE7C6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3AA8F4" w14:textId="77777777" w:rsidR="008423E4" w:rsidRDefault="008423E4" w:rsidP="00EE7C6B"/>
          <w:p w14:paraId="4711EEA6" w14:textId="728C4974" w:rsidR="00D711EF" w:rsidRDefault="00EC507D" w:rsidP="00EE7C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572</w:t>
            </w:r>
            <w:r w:rsidR="00D51CB8">
              <w:t xml:space="preserve"> amends the Health and Safety Code to </w:t>
            </w:r>
            <w:r>
              <w:t xml:space="preserve">prohibit an applicable health care facility from </w:t>
            </w:r>
            <w:r w:rsidRPr="00797130">
              <w:t>prohibit</w:t>
            </w:r>
            <w:r>
              <w:t>ing</w:t>
            </w:r>
            <w:r w:rsidRPr="00797130">
              <w:t xml:space="preserve"> a resident or patient of the facility from receiving in-person visitation with a religious counselor on the patient's or resident's request durin</w:t>
            </w:r>
            <w:r w:rsidRPr="00797130">
              <w:t>g a public health emergency</w:t>
            </w:r>
            <w:r w:rsidR="00A969E8">
              <w:t xml:space="preserve"> except as required by federal law or a federal agency</w:t>
            </w:r>
            <w:r>
              <w:t xml:space="preserve">. The bill requires the </w:t>
            </w:r>
            <w:r w:rsidRPr="00D51CB8">
              <w:t xml:space="preserve">executive commissioner </w:t>
            </w:r>
            <w:r>
              <w:t xml:space="preserve">of the Health and Human Services Commission by rule to develop guidelines to assist </w:t>
            </w:r>
            <w:r w:rsidR="00A969E8">
              <w:t xml:space="preserve">health care </w:t>
            </w:r>
            <w:r>
              <w:t>facilities in establishing in-pe</w:t>
            </w:r>
            <w:r>
              <w:t>rson religious counselor visitation policies and procedures</w:t>
            </w:r>
            <w:r w:rsidR="00A969E8">
              <w:t xml:space="preserve"> and requires that the guidelines do the following:</w:t>
            </w:r>
          </w:p>
          <w:p w14:paraId="60C2763E" w14:textId="77777777" w:rsidR="00A969E8" w:rsidRDefault="00EC507D" w:rsidP="00EE7C6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establish minimum health and safety requirements for in-person visitation with religious counselors;</w:t>
            </w:r>
          </w:p>
          <w:p w14:paraId="419EC466" w14:textId="3E9DF8A4" w:rsidR="00A969E8" w:rsidRDefault="00EC507D" w:rsidP="00EE7C6B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allow facilities to adopt reasonable time, p</w:t>
            </w:r>
            <w:r>
              <w:t>lace, and manner restrictions on in-person visitation with religious counselors to mitigate the spread of a communicable disease and address the patient's or resident's medical condition; and</w:t>
            </w:r>
          </w:p>
          <w:p w14:paraId="19034A0C" w14:textId="61809F0E" w:rsidR="00A969E8" w:rsidRDefault="00EC507D" w:rsidP="00EE7C6B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provide special consideration to patients and residents who are </w:t>
            </w:r>
            <w:r>
              <w:t>receiving end-of-life care.</w:t>
            </w:r>
          </w:p>
          <w:p w14:paraId="76935CA8" w14:textId="571C7EE0" w:rsidR="00A969E8" w:rsidRDefault="00A969E8" w:rsidP="00EE7C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B3C401F" w14:textId="5A8541A9" w:rsidR="00A969E8" w:rsidRDefault="00EC507D" w:rsidP="00EE7C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572 applies to the following</w:t>
            </w:r>
            <w:r w:rsidR="007E544D">
              <w:t xml:space="preserve"> health care</w:t>
            </w:r>
            <w:r>
              <w:t xml:space="preserve"> facilities:</w:t>
            </w:r>
          </w:p>
          <w:p w14:paraId="0658064E" w14:textId="63E13F95" w:rsidR="00A969E8" w:rsidRDefault="00EC507D" w:rsidP="00EE7C6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state-licensed home and community support services agenc</w:t>
            </w:r>
            <w:r w:rsidR="007E544D">
              <w:t>ies</w:t>
            </w:r>
            <w:r>
              <w:t>;</w:t>
            </w:r>
          </w:p>
          <w:p w14:paraId="034A69FB" w14:textId="2FF3862E" w:rsidR="00A969E8" w:rsidRDefault="00EC507D" w:rsidP="00EE7C6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state-licensed hospital</w:t>
            </w:r>
            <w:r w:rsidR="007E544D">
              <w:t>s</w:t>
            </w:r>
            <w:r>
              <w:t>;</w:t>
            </w:r>
          </w:p>
          <w:p w14:paraId="4EF13512" w14:textId="4D232AC3" w:rsidR="00A969E8" w:rsidRDefault="00EC507D" w:rsidP="00EE7C6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state-licensed nursing facilities;</w:t>
            </w:r>
          </w:p>
          <w:p w14:paraId="5954B0AD" w14:textId="1D8D1F3A" w:rsidR="00A969E8" w:rsidRDefault="00EC507D" w:rsidP="00EE7C6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state-regulated continuing care facilit</w:t>
            </w:r>
            <w:r w:rsidR="007E544D">
              <w:t>ies</w:t>
            </w:r>
            <w:r>
              <w:t>;</w:t>
            </w:r>
          </w:p>
          <w:p w14:paraId="34CCDB91" w14:textId="58F7F538" w:rsidR="00A969E8" w:rsidRDefault="00EC507D" w:rsidP="00EE7C6B">
            <w:pPr>
              <w:pStyle w:val="Header"/>
              <w:numPr>
                <w:ilvl w:val="0"/>
                <w:numId w:val="3"/>
              </w:numPr>
              <w:jc w:val="both"/>
            </w:pPr>
            <w:r>
              <w:t>state-licensed assisted living fac</w:t>
            </w:r>
            <w:r w:rsidR="007E544D">
              <w:t>ilities</w:t>
            </w:r>
            <w:r>
              <w:t>; and</w:t>
            </w:r>
          </w:p>
          <w:p w14:paraId="3C53A28C" w14:textId="1A052B84" w:rsidR="00A969E8" w:rsidRDefault="00EC507D" w:rsidP="00EE7C6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state-licensed </w:t>
            </w:r>
            <w:r w:rsidR="007E544D">
              <w:t>special care facilities</w:t>
            </w:r>
            <w:r>
              <w:t>.</w:t>
            </w:r>
          </w:p>
          <w:p w14:paraId="53631568" w14:textId="3D2C820A" w:rsidR="00FF3334" w:rsidRPr="009C36CD" w:rsidRDefault="00EC507D" w:rsidP="00EE7C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clarifies </w:t>
            </w:r>
            <w:r w:rsidR="0021597A">
              <w:t>that "</w:t>
            </w:r>
            <w:r>
              <w:t>religious counselor</w:t>
            </w:r>
            <w:r w:rsidR="0021597A">
              <w:t>"</w:t>
            </w:r>
            <w:r w:rsidR="00CC619A">
              <w:t xml:space="preserve"> means </w:t>
            </w:r>
            <w:r w:rsidR="00CC619A" w:rsidRPr="00CC619A">
              <w:t>an individual acting substantially in a pastoral or religious capacity to provide spiritual counsel to other individuals</w:t>
            </w:r>
            <w:r w:rsidR="00CC619A">
              <w:t>. The bill</w:t>
            </w:r>
            <w:r>
              <w:t xml:space="preserve"> establishes that a public health emergency is either a state or local disaster declared under the Texas Disaster Act of 1975 or a public health disaster under </w:t>
            </w:r>
            <w:r w:rsidRPr="00FF3334">
              <w:t>the Communicable Disease Prevention and Control Act</w:t>
            </w:r>
            <w:r>
              <w:t xml:space="preserve">. The bill sets out the </w:t>
            </w:r>
            <w:r>
              <w:t>purposes of its provisions with respect to protecting religious liberty and preventing costly lawsuits and administrative complaints.</w:t>
            </w:r>
          </w:p>
          <w:p w14:paraId="15FD3AA3" w14:textId="77777777" w:rsidR="008423E4" w:rsidRPr="00835628" w:rsidRDefault="008423E4" w:rsidP="00EE7C6B">
            <w:pPr>
              <w:rPr>
                <w:b/>
              </w:rPr>
            </w:pPr>
          </w:p>
        </w:tc>
      </w:tr>
      <w:tr w:rsidR="000E0AC9" w14:paraId="573CE17B" w14:textId="77777777" w:rsidTr="00345119">
        <w:tc>
          <w:tcPr>
            <w:tcW w:w="9576" w:type="dxa"/>
          </w:tcPr>
          <w:p w14:paraId="7947939D" w14:textId="77777777" w:rsidR="008423E4" w:rsidRPr="00A8133F" w:rsidRDefault="00EC507D" w:rsidP="00EE7C6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9F6F0B6" w14:textId="77777777" w:rsidR="008423E4" w:rsidRDefault="008423E4" w:rsidP="00EE7C6B"/>
          <w:p w14:paraId="217D4791" w14:textId="77777777" w:rsidR="008423E4" w:rsidRPr="003624F2" w:rsidRDefault="00EC507D" w:rsidP="00EE7C6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5E2F4A29" w14:textId="77777777" w:rsidR="008423E4" w:rsidRPr="00233FDB" w:rsidRDefault="008423E4" w:rsidP="00EE7C6B">
            <w:pPr>
              <w:rPr>
                <w:b/>
              </w:rPr>
            </w:pPr>
          </w:p>
        </w:tc>
      </w:tr>
      <w:tr w:rsidR="000E0AC9" w14:paraId="0AD59385" w14:textId="77777777" w:rsidTr="00345119">
        <w:tc>
          <w:tcPr>
            <w:tcW w:w="9576" w:type="dxa"/>
          </w:tcPr>
          <w:p w14:paraId="17BBB445" w14:textId="77777777" w:rsidR="00287754" w:rsidRDefault="00EC507D" w:rsidP="00EE7C6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SENATE ENGROSSED AND SUBSTITUTE</w:t>
            </w:r>
          </w:p>
          <w:p w14:paraId="1FAA234D" w14:textId="77777777" w:rsidR="00FF3334" w:rsidRDefault="00FF3334" w:rsidP="00EE7C6B">
            <w:pPr>
              <w:jc w:val="both"/>
            </w:pPr>
          </w:p>
          <w:p w14:paraId="2263A612" w14:textId="05FC0AFF" w:rsidR="00FF3334" w:rsidRDefault="00EC507D" w:rsidP="00EE7C6B">
            <w:pPr>
              <w:jc w:val="both"/>
            </w:pPr>
            <w:r>
              <w:t>While C.S.S.B. 572 differ</w:t>
            </w:r>
            <w:r w:rsidR="009B5279">
              <w:t>s</w:t>
            </w:r>
            <w:r>
              <w:t xml:space="preserve"> from the engrossed in minor </w:t>
            </w:r>
            <w:r w:rsidR="009B5279">
              <w:t xml:space="preserve">and </w:t>
            </w:r>
            <w:r>
              <w:t>nonsubstantive ways</w:t>
            </w:r>
            <w:r w:rsidR="009B5279">
              <w:t xml:space="preserve"> to conform to certain bill drafting conventions</w:t>
            </w:r>
            <w:r>
              <w:t xml:space="preserve">, the following summarizes </w:t>
            </w:r>
            <w:r w:rsidR="009B5279">
              <w:t xml:space="preserve">only </w:t>
            </w:r>
            <w:r>
              <w:t>the substantial differences between the engrossed and committee s</w:t>
            </w:r>
            <w:r>
              <w:t>ubstitute versions of the bill.</w:t>
            </w:r>
          </w:p>
          <w:p w14:paraId="5D96F56D" w14:textId="44EFDBE2" w:rsidR="009B5279" w:rsidRDefault="009B5279" w:rsidP="00EE7C6B">
            <w:pPr>
              <w:jc w:val="both"/>
            </w:pPr>
          </w:p>
          <w:p w14:paraId="07D8B7AB" w14:textId="18452A68" w:rsidR="00E37DAE" w:rsidRDefault="00EC507D" w:rsidP="00EE7C6B">
            <w:pPr>
              <w:jc w:val="both"/>
            </w:pPr>
            <w:r>
              <w:t>While both the engrossed and the substitute seek to protect the religious liberty of patients and residents of health care facilities, the substitute change</w:t>
            </w:r>
            <w:r w:rsidR="0021597A">
              <w:t>s</w:t>
            </w:r>
            <w:r>
              <w:t xml:space="preserve"> the provisions of the engrossed as follows:</w:t>
            </w:r>
          </w:p>
          <w:p w14:paraId="40D34D29" w14:textId="0D562EE7" w:rsidR="009B5279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provides for</w:t>
            </w:r>
            <w:r w:rsidR="001629BB">
              <w:t xml:space="preserve"> the right of a patient or resident to receive</w:t>
            </w:r>
            <w:r>
              <w:t xml:space="preserve"> in-person visitation with a religious counselor, which includes any individual acting substantially in a pastoral or religious capacity to provide spiritual counsel, whereas the </w:t>
            </w:r>
            <w:r w:rsidR="009C14BA">
              <w:t>engrossed</w:t>
            </w:r>
            <w:r>
              <w:t xml:space="preserve"> was limited only to </w:t>
            </w:r>
            <w:r w:rsidR="009C14BA">
              <w:t>the right to have visitation from a member</w:t>
            </w:r>
            <w:r>
              <w:t xml:space="preserve"> of the clergy</w:t>
            </w:r>
            <w:r w:rsidR="009C14BA">
              <w:t>;</w:t>
            </w:r>
          </w:p>
          <w:p w14:paraId="67FBF5C9" w14:textId="092E8AA2" w:rsidR="009C14BA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expands the facilities to which the bill's provisions apply to include a state-licensed home and community support services agency and replaces references to "inpatient health care facilities" with references</w:t>
            </w:r>
            <w:r>
              <w:t xml:space="preserve"> to "health care facility";</w:t>
            </w:r>
          </w:p>
          <w:p w14:paraId="09F6D032" w14:textId="0199C126" w:rsidR="009C14BA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omits the definitions of "patient" and "resident" from the engrossed;</w:t>
            </w:r>
          </w:p>
          <w:p w14:paraId="02937685" w14:textId="21088230" w:rsidR="001629BB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omits the requirement from the engrossed for the rules adopted to include certain definitions;</w:t>
            </w:r>
          </w:p>
          <w:p w14:paraId="14A45165" w14:textId="60D5C8FB" w:rsidR="009C14BA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revises the purpose of the bill's provisions</w:t>
            </w:r>
            <w:r w:rsidR="00BF654B">
              <w:t xml:space="preserve"> as established by the engrossed</w:t>
            </w:r>
            <w:r>
              <w:t>;</w:t>
            </w:r>
          </w:p>
          <w:p w14:paraId="549326DA" w14:textId="7D646558" w:rsidR="00BF654B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omits the procedural provision from the engrossed regarding visitation before the implementation of the rules regarding clergy visits;</w:t>
            </w:r>
            <w:r w:rsidR="0021597A">
              <w:t xml:space="preserve"> and</w:t>
            </w:r>
          </w:p>
          <w:p w14:paraId="5554FEA1" w14:textId="65D0BCC3" w:rsidR="001629BB" w:rsidRDefault="00EC507D" w:rsidP="00EE7C6B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includes a procedural provision not in the engrossed specifying that the executive commissioner must establish the guidelines as soon as practicable after the bill's effective date</w:t>
            </w:r>
            <w:r w:rsidR="00C14238">
              <w:t>.</w:t>
            </w:r>
          </w:p>
          <w:p w14:paraId="5874906D" w14:textId="59C86385" w:rsidR="00FF3334" w:rsidRPr="00FF3334" w:rsidRDefault="00FF3334" w:rsidP="00EE7C6B">
            <w:pPr>
              <w:jc w:val="both"/>
            </w:pPr>
          </w:p>
        </w:tc>
      </w:tr>
      <w:tr w:rsidR="000E0AC9" w14:paraId="08BBC44E" w14:textId="77777777" w:rsidTr="00345119">
        <w:tc>
          <w:tcPr>
            <w:tcW w:w="9576" w:type="dxa"/>
          </w:tcPr>
          <w:p w14:paraId="35BC0294" w14:textId="77777777" w:rsidR="00287754" w:rsidRPr="009C1E9A" w:rsidRDefault="00287754" w:rsidP="00EE7C6B">
            <w:pPr>
              <w:rPr>
                <w:b/>
                <w:u w:val="single"/>
              </w:rPr>
            </w:pPr>
          </w:p>
        </w:tc>
      </w:tr>
      <w:tr w:rsidR="000E0AC9" w14:paraId="1FAB2C2E" w14:textId="77777777" w:rsidTr="00345119">
        <w:tc>
          <w:tcPr>
            <w:tcW w:w="9576" w:type="dxa"/>
          </w:tcPr>
          <w:p w14:paraId="3602ACC7" w14:textId="77777777" w:rsidR="00287754" w:rsidRPr="00287754" w:rsidRDefault="00287754" w:rsidP="00EE7C6B">
            <w:pPr>
              <w:jc w:val="both"/>
            </w:pPr>
          </w:p>
        </w:tc>
      </w:tr>
    </w:tbl>
    <w:p w14:paraId="55A31CAD" w14:textId="77777777" w:rsidR="008423E4" w:rsidRPr="00BE0E75" w:rsidRDefault="008423E4" w:rsidP="00EE7C6B">
      <w:pPr>
        <w:jc w:val="both"/>
        <w:rPr>
          <w:rFonts w:ascii="Arial" w:hAnsi="Arial"/>
          <w:sz w:val="16"/>
          <w:szCs w:val="16"/>
        </w:rPr>
      </w:pPr>
    </w:p>
    <w:p w14:paraId="6D8FEF63" w14:textId="77777777" w:rsidR="004108C3" w:rsidRPr="008423E4" w:rsidRDefault="004108C3" w:rsidP="00EE7C6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1F3A3" w14:textId="77777777" w:rsidR="00000000" w:rsidRDefault="00EC507D">
      <w:r>
        <w:separator/>
      </w:r>
    </w:p>
  </w:endnote>
  <w:endnote w:type="continuationSeparator" w:id="0">
    <w:p w14:paraId="2BFF0957" w14:textId="77777777" w:rsidR="00000000" w:rsidRDefault="00EC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4762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E0AC9" w14:paraId="25697793" w14:textId="77777777" w:rsidTr="009C1E9A">
      <w:trPr>
        <w:cantSplit/>
      </w:trPr>
      <w:tc>
        <w:tcPr>
          <w:tcW w:w="0" w:type="pct"/>
        </w:tcPr>
        <w:p w14:paraId="7FE59AD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714B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35DC28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EFBC1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46C7B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0AC9" w14:paraId="51243591" w14:textId="77777777" w:rsidTr="009C1E9A">
      <w:trPr>
        <w:cantSplit/>
      </w:trPr>
      <w:tc>
        <w:tcPr>
          <w:tcW w:w="0" w:type="pct"/>
        </w:tcPr>
        <w:p w14:paraId="5A1D1B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9A34A44" w14:textId="314CCD1C" w:rsidR="00EC379B" w:rsidRPr="009C1E9A" w:rsidRDefault="00EC507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26271</w:t>
          </w:r>
        </w:p>
      </w:tc>
      <w:tc>
        <w:tcPr>
          <w:tcW w:w="2453" w:type="pct"/>
        </w:tcPr>
        <w:p w14:paraId="7864E14D" w14:textId="47F157F5" w:rsidR="00EC379B" w:rsidRDefault="00EC507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13CCD">
            <w:t>21.132.1031</w:t>
          </w:r>
          <w:r>
            <w:fldChar w:fldCharType="end"/>
          </w:r>
        </w:p>
      </w:tc>
    </w:tr>
    <w:tr w:rsidR="000E0AC9" w14:paraId="547A4E6F" w14:textId="77777777" w:rsidTr="009C1E9A">
      <w:trPr>
        <w:cantSplit/>
      </w:trPr>
      <w:tc>
        <w:tcPr>
          <w:tcW w:w="0" w:type="pct"/>
        </w:tcPr>
        <w:p w14:paraId="7527D96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4CC73E7" w14:textId="652DBFD9" w:rsidR="00EC379B" w:rsidRPr="009C1E9A" w:rsidRDefault="00EC507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22519</w:t>
          </w:r>
        </w:p>
      </w:tc>
      <w:tc>
        <w:tcPr>
          <w:tcW w:w="2453" w:type="pct"/>
        </w:tcPr>
        <w:p w14:paraId="028727F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15917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E0AC9" w14:paraId="35850FA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1FDEC0" w14:textId="1B5F54A3" w:rsidR="00EC379B" w:rsidRDefault="00EC507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E7C6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B151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CB5883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D61B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3A44" w14:textId="77777777" w:rsidR="00000000" w:rsidRDefault="00EC507D">
      <w:r>
        <w:separator/>
      </w:r>
    </w:p>
  </w:footnote>
  <w:footnote w:type="continuationSeparator" w:id="0">
    <w:p w14:paraId="631CEC15" w14:textId="77777777" w:rsidR="00000000" w:rsidRDefault="00EC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521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C223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8E69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22F"/>
    <w:multiLevelType w:val="hybridMultilevel"/>
    <w:tmpl w:val="9AC4DD92"/>
    <w:lvl w:ilvl="0" w:tplc="3508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64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22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E9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241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AE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CE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48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B40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784"/>
    <w:multiLevelType w:val="hybridMultilevel"/>
    <w:tmpl w:val="FD182250"/>
    <w:lvl w:ilvl="0" w:tplc="E3864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6E3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64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02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A0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F20B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A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2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AEF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0B70"/>
    <w:multiLevelType w:val="hybridMultilevel"/>
    <w:tmpl w:val="E06C1780"/>
    <w:lvl w:ilvl="0" w:tplc="BD145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20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E6C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E4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323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0D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43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81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6C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879F5"/>
    <w:multiLevelType w:val="hybridMultilevel"/>
    <w:tmpl w:val="00DE9D20"/>
    <w:lvl w:ilvl="0" w:tplc="D6B0CC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A1465E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A2E8F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6A2937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30486C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7D4370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BF2877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30E253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1EE796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B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FD7"/>
    <w:rsid w:val="00064BF2"/>
    <w:rsid w:val="000667BA"/>
    <w:rsid w:val="000676A7"/>
    <w:rsid w:val="00073914"/>
    <w:rsid w:val="00074236"/>
    <w:rsid w:val="000742C2"/>
    <w:rsid w:val="000746BD"/>
    <w:rsid w:val="00076D7D"/>
    <w:rsid w:val="00080D95"/>
    <w:rsid w:val="00090E6B"/>
    <w:rsid w:val="00091B2C"/>
    <w:rsid w:val="00092ABC"/>
    <w:rsid w:val="00096885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0AC9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1D1C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ADF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9BB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04FC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597A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13C0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87754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92C"/>
    <w:rsid w:val="002C1C17"/>
    <w:rsid w:val="002C3203"/>
    <w:rsid w:val="002C3B07"/>
    <w:rsid w:val="002C4AE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773E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CCD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251"/>
    <w:rsid w:val="0051324D"/>
    <w:rsid w:val="00515466"/>
    <w:rsid w:val="005154F7"/>
    <w:rsid w:val="005159DE"/>
    <w:rsid w:val="005269CE"/>
    <w:rsid w:val="005304B2"/>
    <w:rsid w:val="005336BD"/>
    <w:rsid w:val="00534A49"/>
    <w:rsid w:val="0053613E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34CB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3DC3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69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130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C7F5E"/>
    <w:rsid w:val="007D2892"/>
    <w:rsid w:val="007D2DCC"/>
    <w:rsid w:val="007D47E1"/>
    <w:rsid w:val="007D7FCB"/>
    <w:rsid w:val="007E33B6"/>
    <w:rsid w:val="007E544D"/>
    <w:rsid w:val="007E59E8"/>
    <w:rsid w:val="007F2665"/>
    <w:rsid w:val="007F3861"/>
    <w:rsid w:val="007F4162"/>
    <w:rsid w:val="007F4AAC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7F8"/>
    <w:rsid w:val="0099403D"/>
    <w:rsid w:val="00995B0B"/>
    <w:rsid w:val="009A1883"/>
    <w:rsid w:val="009A1F13"/>
    <w:rsid w:val="009A39F5"/>
    <w:rsid w:val="009A4588"/>
    <w:rsid w:val="009A5EA5"/>
    <w:rsid w:val="009B00C2"/>
    <w:rsid w:val="009B26AB"/>
    <w:rsid w:val="009B3476"/>
    <w:rsid w:val="009B39BC"/>
    <w:rsid w:val="009B5069"/>
    <w:rsid w:val="009B5279"/>
    <w:rsid w:val="009B69AD"/>
    <w:rsid w:val="009B7806"/>
    <w:rsid w:val="009C05C1"/>
    <w:rsid w:val="009C14BA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969E8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943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63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654B"/>
    <w:rsid w:val="00C013F4"/>
    <w:rsid w:val="00C040AB"/>
    <w:rsid w:val="00C0499B"/>
    <w:rsid w:val="00C05406"/>
    <w:rsid w:val="00C05CF0"/>
    <w:rsid w:val="00C119AC"/>
    <w:rsid w:val="00C14238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111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19A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71FC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CB8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1EF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50A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37DAE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07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E7C6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746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334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AD951B-B92A-4401-A024-FDD8E511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1C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1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1CB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1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1CB8"/>
    <w:rPr>
      <w:b/>
      <w:bCs/>
    </w:rPr>
  </w:style>
  <w:style w:type="paragraph" w:styleId="ListParagraph">
    <w:name w:val="List Paragraph"/>
    <w:basedOn w:val="Normal"/>
    <w:uiPriority w:val="34"/>
    <w:qFormat/>
    <w:rsid w:val="00E3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4383</Characters>
  <Application>Microsoft Office Word</Application>
  <DocSecurity>4</DocSecurity>
  <Lines>97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SB00572 (Committee Report (Substituted))</vt:lpstr>
    </vt:vector>
  </TitlesOfParts>
  <Company>State of Texas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26271</dc:subject>
  <dc:creator>State of Texas</dc:creator>
  <dc:description>SB 572 by Springer-(H)Public Health (Substitute Document Number: 87R 22519)</dc:description>
  <cp:lastModifiedBy>Stacey Nicchio</cp:lastModifiedBy>
  <cp:revision>2</cp:revision>
  <cp:lastPrinted>2003-11-26T17:21:00Z</cp:lastPrinted>
  <dcterms:created xsi:type="dcterms:W3CDTF">2021-05-12T22:10:00Z</dcterms:created>
  <dcterms:modified xsi:type="dcterms:W3CDTF">2021-05-12T22:10:00Z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21.132.1031</vt:lpwstr>
  </property>
</Properties>
</file>