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7116" w14:paraId="79453889" w14:textId="77777777" w:rsidTr="00345119">
        <w:tc>
          <w:tcPr>
            <w:tcW w:w="9576" w:type="dxa"/>
            <w:noWrap/>
          </w:tcPr>
          <w:p w14:paraId="5ED05477" w14:textId="77777777" w:rsidR="008423E4" w:rsidRPr="0022177D" w:rsidRDefault="00E3511E" w:rsidP="008F760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96E1C4" w14:textId="77777777" w:rsidR="008423E4" w:rsidRPr="0022177D" w:rsidRDefault="008423E4" w:rsidP="008F760B">
      <w:pPr>
        <w:jc w:val="center"/>
      </w:pPr>
    </w:p>
    <w:p w14:paraId="0A60221B" w14:textId="77777777" w:rsidR="008423E4" w:rsidRPr="00B31F0E" w:rsidRDefault="008423E4" w:rsidP="008F760B"/>
    <w:p w14:paraId="250909B4" w14:textId="77777777" w:rsidR="008423E4" w:rsidRPr="00742794" w:rsidRDefault="008423E4" w:rsidP="008F760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7116" w14:paraId="52E542EE" w14:textId="77777777" w:rsidTr="00345119">
        <w:tc>
          <w:tcPr>
            <w:tcW w:w="9576" w:type="dxa"/>
          </w:tcPr>
          <w:p w14:paraId="66C5F217" w14:textId="13229C02" w:rsidR="008423E4" w:rsidRPr="00861995" w:rsidRDefault="00E3511E" w:rsidP="008F760B">
            <w:pPr>
              <w:jc w:val="right"/>
            </w:pPr>
            <w:r>
              <w:t>S.B. 581</w:t>
            </w:r>
          </w:p>
        </w:tc>
      </w:tr>
      <w:tr w:rsidR="000C7116" w14:paraId="48DF558B" w14:textId="77777777" w:rsidTr="00345119">
        <w:tc>
          <w:tcPr>
            <w:tcW w:w="9576" w:type="dxa"/>
          </w:tcPr>
          <w:p w14:paraId="404597DA" w14:textId="52C465B2" w:rsidR="008423E4" w:rsidRPr="00861995" w:rsidRDefault="00E3511E" w:rsidP="008F760B">
            <w:pPr>
              <w:jc w:val="right"/>
            </w:pPr>
            <w:r>
              <w:t xml:space="preserve">By: </w:t>
            </w:r>
            <w:r w:rsidR="007175D4">
              <w:t>Bettencourt</w:t>
            </w:r>
          </w:p>
        </w:tc>
      </w:tr>
      <w:tr w:rsidR="000C7116" w14:paraId="7C52B03E" w14:textId="77777777" w:rsidTr="00345119">
        <w:tc>
          <w:tcPr>
            <w:tcW w:w="9576" w:type="dxa"/>
          </w:tcPr>
          <w:p w14:paraId="3AE19D0C" w14:textId="6DE32D6F" w:rsidR="008423E4" w:rsidRPr="00861995" w:rsidRDefault="00E3511E" w:rsidP="008F760B">
            <w:pPr>
              <w:jc w:val="right"/>
            </w:pPr>
            <w:r>
              <w:t>Business &amp; Industry</w:t>
            </w:r>
          </w:p>
        </w:tc>
      </w:tr>
      <w:tr w:rsidR="000C7116" w14:paraId="3BFF8D63" w14:textId="77777777" w:rsidTr="00345119">
        <w:tc>
          <w:tcPr>
            <w:tcW w:w="9576" w:type="dxa"/>
          </w:tcPr>
          <w:p w14:paraId="0B404764" w14:textId="00DBCE18" w:rsidR="008423E4" w:rsidRDefault="00E3511E" w:rsidP="008F760B">
            <w:pPr>
              <w:jc w:val="right"/>
            </w:pPr>
            <w:r>
              <w:t>Committee Report (Unamended)</w:t>
            </w:r>
          </w:p>
        </w:tc>
      </w:tr>
    </w:tbl>
    <w:p w14:paraId="55DFE26F" w14:textId="77777777" w:rsidR="008423E4" w:rsidRDefault="008423E4" w:rsidP="008F760B">
      <w:pPr>
        <w:tabs>
          <w:tab w:val="right" w:pos="9360"/>
        </w:tabs>
      </w:pPr>
    </w:p>
    <w:p w14:paraId="08FEA381" w14:textId="77777777" w:rsidR="008423E4" w:rsidRDefault="008423E4" w:rsidP="008F760B"/>
    <w:p w14:paraId="2BD343E9" w14:textId="77777777" w:rsidR="008423E4" w:rsidRDefault="008423E4" w:rsidP="008F760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C7116" w14:paraId="76F44DB5" w14:textId="77777777" w:rsidTr="00345119">
        <w:tc>
          <w:tcPr>
            <w:tcW w:w="9576" w:type="dxa"/>
          </w:tcPr>
          <w:p w14:paraId="62E11663" w14:textId="77777777" w:rsidR="008423E4" w:rsidRPr="00A8133F" w:rsidRDefault="00E3511E" w:rsidP="008F76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24BE83" w14:textId="77777777" w:rsidR="008423E4" w:rsidRDefault="008423E4" w:rsidP="008F760B"/>
          <w:p w14:paraId="5FC2A312" w14:textId="77777777" w:rsidR="008423E4" w:rsidRDefault="00E3511E" w:rsidP="008F76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decade ago</w:t>
            </w:r>
            <w:r w:rsidR="002C6DD5">
              <w:t>,</w:t>
            </w:r>
            <w:r w:rsidR="00FD58E1" w:rsidRPr="00FD58E1">
              <w:t xml:space="preserve"> the </w:t>
            </w:r>
            <w:r>
              <w:t>Texas L</w:t>
            </w:r>
            <w:r w:rsidR="00FD58E1" w:rsidRPr="00FD58E1">
              <w:t xml:space="preserve">egislature enacted </w:t>
            </w:r>
            <w:r>
              <w:t>legislation seeking</w:t>
            </w:r>
            <w:r w:rsidR="00FD58E1" w:rsidRPr="00FD58E1">
              <w:t xml:space="preserve"> to protect </w:t>
            </w:r>
            <w:r>
              <w:t xml:space="preserve">the rights of </w:t>
            </w:r>
            <w:r w:rsidR="00FD58E1" w:rsidRPr="00FD58E1">
              <w:t xml:space="preserve">homeowners </w:t>
            </w:r>
            <w:r>
              <w:t>to display</w:t>
            </w:r>
            <w:r w:rsidR="00FD58E1">
              <w:t xml:space="preserve"> mezuzahs</w:t>
            </w:r>
            <w:r w:rsidR="00694BEF">
              <w:t xml:space="preserve">, which are </w:t>
            </w:r>
            <w:r w:rsidR="00FD58E1">
              <w:t xml:space="preserve">religious scrolls that those of the Jewish faith post on their door frame. </w:t>
            </w:r>
            <w:r>
              <w:t xml:space="preserve">An unintended consequence of this legislation was that property owners' associations were </w:t>
            </w:r>
            <w:r w:rsidR="00694BEF">
              <w:t>able</w:t>
            </w:r>
            <w:r>
              <w:t xml:space="preserve"> to force homeowners to remove any religious display that is not affixed to the homeown</w:t>
            </w:r>
            <w:r>
              <w:t>er's front door. Examples might include crosses, menorahs, or nativity scenes displayed in a homeowner's yard. Furthermore, these associations are currently empowered to limit the homeowner's ability to place a religious display on their doors if using a m</w:t>
            </w:r>
            <w:r>
              <w:t>aterial the association has not authorized. Thus, an association can effectively prohibit any religious displays on a homeowner's front door simply by not approving any materials. Additionally, even if a</w:t>
            </w:r>
            <w:r w:rsidR="00694BEF">
              <w:t>n</w:t>
            </w:r>
            <w:r>
              <w:t xml:space="preserve"> association does allow certain materials for crosse</w:t>
            </w:r>
            <w:r>
              <w:t>s or other religious displays, they can still force these displays to be removed if any passerby finds the display to be patently offensive. S.B. 581 seeks to address th</w:t>
            </w:r>
            <w:r w:rsidR="00694BEF">
              <w:t>ese</w:t>
            </w:r>
            <w:r>
              <w:t xml:space="preserve"> issue</w:t>
            </w:r>
            <w:r w:rsidR="00694BEF">
              <w:t>s</w:t>
            </w:r>
            <w:r>
              <w:t xml:space="preserve"> and limit the authority of a property owners' association to regulate the di</w:t>
            </w:r>
            <w:r>
              <w:t>splay of religious items by a property owner.</w:t>
            </w:r>
          </w:p>
          <w:p w14:paraId="38FA574F" w14:textId="4FFE0996" w:rsidR="008F760B" w:rsidRPr="00E26B13" w:rsidRDefault="008F760B" w:rsidP="008F760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C7116" w14:paraId="7DAD2040" w14:textId="77777777" w:rsidTr="00345119">
        <w:tc>
          <w:tcPr>
            <w:tcW w:w="9576" w:type="dxa"/>
          </w:tcPr>
          <w:p w14:paraId="15561B0F" w14:textId="77777777" w:rsidR="0017725B" w:rsidRDefault="00E3511E" w:rsidP="008F76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58BD22" w14:textId="77777777" w:rsidR="0017725B" w:rsidRDefault="0017725B" w:rsidP="008F760B">
            <w:pPr>
              <w:rPr>
                <w:b/>
                <w:u w:val="single"/>
              </w:rPr>
            </w:pPr>
          </w:p>
          <w:p w14:paraId="1E5C7B0C" w14:textId="77777777" w:rsidR="009E20B5" w:rsidRPr="009E20B5" w:rsidRDefault="00E3511E" w:rsidP="008F760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5CE94FF4" w14:textId="77777777" w:rsidR="0017725B" w:rsidRPr="0017725B" w:rsidRDefault="0017725B" w:rsidP="008F760B">
            <w:pPr>
              <w:rPr>
                <w:b/>
                <w:u w:val="single"/>
              </w:rPr>
            </w:pPr>
          </w:p>
        </w:tc>
      </w:tr>
      <w:tr w:rsidR="000C7116" w14:paraId="053AF983" w14:textId="77777777" w:rsidTr="00345119">
        <w:tc>
          <w:tcPr>
            <w:tcW w:w="9576" w:type="dxa"/>
          </w:tcPr>
          <w:p w14:paraId="75BB2491" w14:textId="77777777" w:rsidR="008423E4" w:rsidRPr="00A8133F" w:rsidRDefault="00E3511E" w:rsidP="008F76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76CF7B" w14:textId="77777777" w:rsidR="008423E4" w:rsidRDefault="008423E4" w:rsidP="008F760B"/>
          <w:p w14:paraId="14025E74" w14:textId="77777777" w:rsidR="009E20B5" w:rsidRDefault="00E3511E" w:rsidP="008F76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9EE4788" w14:textId="77777777" w:rsidR="008423E4" w:rsidRPr="00E21FDC" w:rsidRDefault="008423E4" w:rsidP="008F760B">
            <w:pPr>
              <w:rPr>
                <w:b/>
              </w:rPr>
            </w:pPr>
          </w:p>
        </w:tc>
      </w:tr>
      <w:tr w:rsidR="000C7116" w14:paraId="33D5B7AD" w14:textId="77777777" w:rsidTr="00345119">
        <w:tc>
          <w:tcPr>
            <w:tcW w:w="9576" w:type="dxa"/>
          </w:tcPr>
          <w:p w14:paraId="4282C68B" w14:textId="77777777" w:rsidR="008423E4" w:rsidRPr="00A8133F" w:rsidRDefault="00E3511E" w:rsidP="008F76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07A5ED" w14:textId="77777777" w:rsidR="008423E4" w:rsidRDefault="008423E4" w:rsidP="008F760B"/>
          <w:p w14:paraId="60AD4E66" w14:textId="6C01F321" w:rsidR="007B5AC6" w:rsidRDefault="00E3511E" w:rsidP="008F76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581</w:t>
            </w:r>
            <w:r w:rsidR="009E20B5">
              <w:t xml:space="preserve"> amends the Property Code</w:t>
            </w:r>
            <w:r w:rsidR="00731381">
              <w:t xml:space="preserve"> </w:t>
            </w:r>
            <w:r w:rsidR="001718A1">
              <w:t>to do the following</w:t>
            </w:r>
            <w:r w:rsidR="007D4795">
              <w:t xml:space="preserve"> with respect to the applicability of</w:t>
            </w:r>
            <w:r w:rsidR="00C37F6E">
              <w:t>,</w:t>
            </w:r>
            <w:r w:rsidR="007D4795">
              <w:t xml:space="preserve"> and certain exceptions to</w:t>
            </w:r>
            <w:r w:rsidR="00C37F6E">
              <w:t>,</w:t>
            </w:r>
            <w:r w:rsidR="007D4795">
              <w:t xml:space="preserve"> the prohibition against the enforcement or adoption by a property owners' association of a provision in a restrictive covenant that prohibits a religious item from being displayed or affixed on the entry to an owner's or resident's dwelling</w:t>
            </w:r>
            <w:r w:rsidR="00731381">
              <w:t>:</w:t>
            </w:r>
          </w:p>
          <w:p w14:paraId="7675505B" w14:textId="53617AC1" w:rsidR="009C36CD" w:rsidRDefault="00E3511E" w:rsidP="008F760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expand the ap</w:t>
            </w:r>
            <w:r>
              <w:t xml:space="preserve">plicability of the </w:t>
            </w:r>
            <w:r w:rsidR="005148F2">
              <w:t xml:space="preserve">prohibition </w:t>
            </w:r>
            <w:r>
              <w:t>to include</w:t>
            </w:r>
            <w:r w:rsidR="005148F2">
              <w:t xml:space="preserve"> </w:t>
            </w:r>
            <w:r w:rsidR="003734D0">
              <w:t>a religious item displayed or affixed anywhere on the property</w:t>
            </w:r>
            <w:r w:rsidR="00731381">
              <w:t xml:space="preserve"> </w:t>
            </w:r>
            <w:r w:rsidR="00FD58E1">
              <w:t xml:space="preserve">or dwelling </w:t>
            </w:r>
            <w:r w:rsidR="00731381">
              <w:t xml:space="preserve">instead of only on the </w:t>
            </w:r>
            <w:r w:rsidR="00FD58E1">
              <w:t xml:space="preserve">dwelling's </w:t>
            </w:r>
            <w:r w:rsidR="00731381">
              <w:t>entry;</w:t>
            </w:r>
          </w:p>
          <w:p w14:paraId="0D98BC68" w14:textId="2AD2DC66" w:rsidR="009E20B5" w:rsidRDefault="00E3511E" w:rsidP="008F760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remove the exception regarding the total size of any items displayed or affixed;</w:t>
            </w:r>
          </w:p>
          <w:p w14:paraId="3780934F" w14:textId="23C1D201" w:rsidR="00715105" w:rsidRDefault="00E3511E" w:rsidP="008F760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specif</w:t>
            </w:r>
            <w:r w:rsidR="001718A1">
              <w:t>y</w:t>
            </w:r>
            <w:r>
              <w:t xml:space="preserve"> that the </w:t>
            </w:r>
            <w:r>
              <w:t xml:space="preserve">exception based on the display or affixing of </w:t>
            </w:r>
            <w:r w:rsidR="00FD58E1">
              <w:t>the</w:t>
            </w:r>
            <w:r>
              <w:t xml:space="preserve"> item being a violation of a law applies only to a violation of a law other than a law prohibiting the display of religious speech;</w:t>
            </w:r>
          </w:p>
          <w:p w14:paraId="5CFE7327" w14:textId="166FADFC" w:rsidR="00C37F6E" w:rsidRDefault="00E3511E" w:rsidP="008F760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specif</w:t>
            </w:r>
            <w:r w:rsidR="001718A1">
              <w:t>y</w:t>
            </w:r>
            <w:r>
              <w:t xml:space="preserve"> that the exception based on the item containing language, graphics,</w:t>
            </w:r>
            <w:r>
              <w:t xml:space="preserve"> or any display that is patently offensive to a passerby applies </w:t>
            </w:r>
            <w:r w:rsidR="00690852">
              <w:t>with respect to the</w:t>
            </w:r>
            <w:r>
              <w:t xml:space="preserve"> offensive </w:t>
            </w:r>
            <w:r w:rsidR="00690852">
              <w:t>nature</w:t>
            </w:r>
            <w:r>
              <w:t xml:space="preserve"> for reasons other than its religious content; and</w:t>
            </w:r>
          </w:p>
          <w:p w14:paraId="39B196C3" w14:textId="7DDD8CF6" w:rsidR="00C37F6E" w:rsidRDefault="00E3511E" w:rsidP="008F760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include the following additional exceptions:</w:t>
            </w:r>
          </w:p>
          <w:p w14:paraId="5A73781D" w14:textId="54A8FE09" w:rsidR="00C37F6E" w:rsidRDefault="00E3511E" w:rsidP="008F760B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item </w:t>
            </w:r>
            <w:r w:rsidR="00690852">
              <w:t>is</w:t>
            </w:r>
            <w:r>
              <w:t xml:space="preserve"> installed on property</w:t>
            </w:r>
            <w:r w:rsidR="00FD58E1">
              <w:t xml:space="preserve"> that is</w:t>
            </w:r>
            <w:r>
              <w:t xml:space="preserve"> owned or maintain</w:t>
            </w:r>
            <w:r>
              <w:t>ed by the associat</w:t>
            </w:r>
            <w:r w:rsidR="00FD58E1">
              <w:t>ion</w:t>
            </w:r>
            <w:r>
              <w:t xml:space="preserve"> or that is owned in common by association members;</w:t>
            </w:r>
          </w:p>
          <w:p w14:paraId="419E4736" w14:textId="722688C4" w:rsidR="00C37F6E" w:rsidRDefault="00E3511E" w:rsidP="008F760B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displaying or affixing of the </w:t>
            </w:r>
            <w:r w:rsidR="00FD58E1">
              <w:t>item violat</w:t>
            </w:r>
            <w:r w:rsidR="00690852">
              <w:t>es</w:t>
            </w:r>
            <w:r>
              <w:t xml:space="preserve"> any applicable building line, right-of-way, setback, or easement; or</w:t>
            </w:r>
          </w:p>
          <w:p w14:paraId="5AA01A02" w14:textId="4B59BDD0" w:rsidR="00715105" w:rsidRDefault="00E3511E" w:rsidP="008F760B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item </w:t>
            </w:r>
            <w:r w:rsidR="00690852">
              <w:t>is</w:t>
            </w:r>
            <w:r>
              <w:t xml:space="preserve"> attached to a traffic control device, street lamp, fir</w:t>
            </w:r>
            <w:r>
              <w:t>e hydrant, or utility sign, pole, or fixture.</w:t>
            </w:r>
          </w:p>
          <w:p w14:paraId="4B12B689" w14:textId="0D5378A0" w:rsidR="00715105" w:rsidRDefault="00E3511E" w:rsidP="008F760B">
            <w:pPr>
              <w:pStyle w:val="Header"/>
              <w:jc w:val="both"/>
            </w:pPr>
            <w:r>
              <w:t xml:space="preserve">The bill repeals provisions relating to the </w:t>
            </w:r>
            <w:r w:rsidR="00831473">
              <w:t xml:space="preserve">authority </w:t>
            </w:r>
            <w:r w:rsidR="00031DFF">
              <w:t xml:space="preserve">of </w:t>
            </w:r>
            <w:r w:rsidR="00831473">
              <w:t>an owner</w:t>
            </w:r>
            <w:r>
              <w:t xml:space="preserve"> or residen</w:t>
            </w:r>
            <w:r w:rsidR="00831473">
              <w:t>t to</w:t>
            </w:r>
            <w:r>
              <w:t xml:space="preserve"> use </w:t>
            </w:r>
            <w:r w:rsidR="00831473">
              <w:t>a material or color</w:t>
            </w:r>
            <w:r>
              <w:t xml:space="preserve"> to make an unauthorized alteration to the owner's or resident's entry door or door frame </w:t>
            </w:r>
            <w:r w:rsidR="00831473">
              <w:t xml:space="preserve">in the context of displaying or affixing a religious item </w:t>
            </w:r>
            <w:r>
              <w:t xml:space="preserve">and provisions authorizing a property owners' association to remove religious items </w:t>
            </w:r>
            <w:r w:rsidRPr="00715105">
              <w:t>displayed in viola</w:t>
            </w:r>
            <w:r>
              <w:t>tion of a restrictive covenant.</w:t>
            </w:r>
          </w:p>
          <w:p w14:paraId="27F1909E" w14:textId="77777777" w:rsidR="009837F9" w:rsidRDefault="009837F9" w:rsidP="008F760B">
            <w:pPr>
              <w:pStyle w:val="Header"/>
              <w:jc w:val="both"/>
            </w:pPr>
          </w:p>
          <w:p w14:paraId="7945D7FC" w14:textId="4CD3C315" w:rsidR="009837F9" w:rsidRPr="009C36CD" w:rsidRDefault="00E3511E" w:rsidP="008F760B">
            <w:pPr>
              <w:pStyle w:val="Header"/>
              <w:jc w:val="both"/>
            </w:pPr>
            <w:r>
              <w:t xml:space="preserve">S.B. 581 repeals </w:t>
            </w:r>
            <w:r w:rsidRPr="009837F9">
              <w:t>Sections 202.018(c) and (d), Property Code</w:t>
            </w:r>
            <w:r>
              <w:t>.</w:t>
            </w:r>
          </w:p>
          <w:p w14:paraId="077BCF8B" w14:textId="77777777" w:rsidR="008423E4" w:rsidRPr="00835628" w:rsidRDefault="008423E4" w:rsidP="008F760B">
            <w:pPr>
              <w:rPr>
                <w:b/>
              </w:rPr>
            </w:pPr>
          </w:p>
        </w:tc>
      </w:tr>
      <w:tr w:rsidR="000C7116" w14:paraId="2C3369A4" w14:textId="77777777" w:rsidTr="00345119">
        <w:tc>
          <w:tcPr>
            <w:tcW w:w="9576" w:type="dxa"/>
          </w:tcPr>
          <w:p w14:paraId="28F439D2" w14:textId="77777777" w:rsidR="008423E4" w:rsidRPr="00A8133F" w:rsidRDefault="00E3511E" w:rsidP="008F76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5AFC30" w14:textId="77777777" w:rsidR="008423E4" w:rsidRDefault="008423E4" w:rsidP="008F760B"/>
          <w:p w14:paraId="0989A18C" w14:textId="77777777" w:rsidR="008423E4" w:rsidRPr="003624F2" w:rsidRDefault="00E3511E" w:rsidP="008F76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0071EC0" w14:textId="77777777" w:rsidR="008423E4" w:rsidRPr="00233FDB" w:rsidRDefault="008423E4" w:rsidP="008F760B">
            <w:pPr>
              <w:rPr>
                <w:b/>
              </w:rPr>
            </w:pPr>
          </w:p>
        </w:tc>
      </w:tr>
    </w:tbl>
    <w:p w14:paraId="4B6893C4" w14:textId="77777777" w:rsidR="008423E4" w:rsidRPr="00BE0E75" w:rsidRDefault="008423E4" w:rsidP="008F760B">
      <w:pPr>
        <w:jc w:val="both"/>
        <w:rPr>
          <w:rFonts w:ascii="Arial" w:hAnsi="Arial"/>
          <w:sz w:val="16"/>
          <w:szCs w:val="16"/>
        </w:rPr>
      </w:pPr>
    </w:p>
    <w:p w14:paraId="05F9AFDB" w14:textId="77777777" w:rsidR="004108C3" w:rsidRPr="008423E4" w:rsidRDefault="004108C3" w:rsidP="008F760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BD63" w14:textId="77777777" w:rsidR="00000000" w:rsidRDefault="00E3511E">
      <w:r>
        <w:separator/>
      </w:r>
    </w:p>
  </w:endnote>
  <w:endnote w:type="continuationSeparator" w:id="0">
    <w:p w14:paraId="0842A77F" w14:textId="77777777" w:rsidR="00000000" w:rsidRDefault="00E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256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7116" w14:paraId="75284ED9" w14:textId="77777777" w:rsidTr="009C1E9A">
      <w:trPr>
        <w:cantSplit/>
      </w:trPr>
      <w:tc>
        <w:tcPr>
          <w:tcW w:w="0" w:type="pct"/>
        </w:tcPr>
        <w:p w14:paraId="636037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2E76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92489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F76F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86B0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7116" w14:paraId="363ACF65" w14:textId="77777777" w:rsidTr="009C1E9A">
      <w:trPr>
        <w:cantSplit/>
      </w:trPr>
      <w:tc>
        <w:tcPr>
          <w:tcW w:w="0" w:type="pct"/>
        </w:tcPr>
        <w:p w14:paraId="2665D9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45FD61" w14:textId="538DB6D8" w:rsidR="00EC379B" w:rsidRPr="009C1E9A" w:rsidRDefault="00E351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23003</w:t>
          </w:r>
        </w:p>
      </w:tc>
      <w:tc>
        <w:tcPr>
          <w:tcW w:w="2453" w:type="pct"/>
        </w:tcPr>
        <w:p w14:paraId="14164AA8" w14:textId="360091F6" w:rsidR="00EC379B" w:rsidRDefault="00E35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53E3">
            <w:t>21.118.1126</w:t>
          </w:r>
          <w:r>
            <w:fldChar w:fldCharType="end"/>
          </w:r>
        </w:p>
      </w:tc>
    </w:tr>
    <w:tr w:rsidR="000C7116" w14:paraId="13AA7358" w14:textId="77777777" w:rsidTr="009C1E9A">
      <w:trPr>
        <w:cantSplit/>
      </w:trPr>
      <w:tc>
        <w:tcPr>
          <w:tcW w:w="0" w:type="pct"/>
        </w:tcPr>
        <w:p w14:paraId="093330A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DE64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B47B0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E01C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7116" w14:paraId="5C057D9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17A162" w14:textId="3EAC1847" w:rsidR="00EC379B" w:rsidRDefault="00E351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F760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E96D8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B0B74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7B0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ED7D" w14:textId="77777777" w:rsidR="00000000" w:rsidRDefault="00E3511E">
      <w:r>
        <w:separator/>
      </w:r>
    </w:p>
  </w:footnote>
  <w:footnote w:type="continuationSeparator" w:id="0">
    <w:p w14:paraId="2FC34186" w14:textId="77777777" w:rsidR="00000000" w:rsidRDefault="00E3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904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D29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D8D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97"/>
    <w:multiLevelType w:val="hybridMultilevel"/>
    <w:tmpl w:val="87E0064E"/>
    <w:lvl w:ilvl="0" w:tplc="392E1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64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C6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2B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0A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E8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2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86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4E48"/>
    <w:multiLevelType w:val="hybridMultilevel"/>
    <w:tmpl w:val="F0023E0E"/>
    <w:lvl w:ilvl="0" w:tplc="2814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8C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E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0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4F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8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E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DFF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8E7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116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81F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8A1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B15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CD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DD5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5C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4D0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894"/>
    <w:rsid w:val="00461B69"/>
    <w:rsid w:val="00462B3D"/>
    <w:rsid w:val="004642F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8F2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0D8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78A"/>
    <w:rsid w:val="006757AA"/>
    <w:rsid w:val="0068127E"/>
    <w:rsid w:val="00681790"/>
    <w:rsid w:val="006823AA"/>
    <w:rsid w:val="00684B98"/>
    <w:rsid w:val="00685DC9"/>
    <w:rsid w:val="00687465"/>
    <w:rsid w:val="006907CF"/>
    <w:rsid w:val="00690852"/>
    <w:rsid w:val="00691CCF"/>
    <w:rsid w:val="00693AFA"/>
    <w:rsid w:val="00694BEF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0B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105"/>
    <w:rsid w:val="007175D4"/>
    <w:rsid w:val="00717739"/>
    <w:rsid w:val="00717DE4"/>
    <w:rsid w:val="00721724"/>
    <w:rsid w:val="00722EC5"/>
    <w:rsid w:val="00723326"/>
    <w:rsid w:val="00724252"/>
    <w:rsid w:val="00727E7A"/>
    <w:rsid w:val="00731381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AC6"/>
    <w:rsid w:val="007B7B85"/>
    <w:rsid w:val="007C462E"/>
    <w:rsid w:val="007C496B"/>
    <w:rsid w:val="007C6803"/>
    <w:rsid w:val="007D2892"/>
    <w:rsid w:val="007D2DCC"/>
    <w:rsid w:val="007D4795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473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55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415"/>
    <w:rsid w:val="008D58F9"/>
    <w:rsid w:val="008E3338"/>
    <w:rsid w:val="008E47BE"/>
    <w:rsid w:val="008F09DF"/>
    <w:rsid w:val="008F3053"/>
    <w:rsid w:val="008F3136"/>
    <w:rsid w:val="008F3512"/>
    <w:rsid w:val="008F40DF"/>
    <w:rsid w:val="008F5E16"/>
    <w:rsid w:val="008F5EFC"/>
    <w:rsid w:val="008F760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893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7F9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0B5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CB4"/>
    <w:rsid w:val="00A220FF"/>
    <w:rsid w:val="00A227E0"/>
    <w:rsid w:val="00A232E4"/>
    <w:rsid w:val="00A24AAD"/>
    <w:rsid w:val="00A26A8A"/>
    <w:rsid w:val="00A27255"/>
    <w:rsid w:val="00A32304"/>
    <w:rsid w:val="00A338AA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4F6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09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37F6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031"/>
    <w:rsid w:val="00C72956"/>
    <w:rsid w:val="00C73045"/>
    <w:rsid w:val="00C73212"/>
    <w:rsid w:val="00C7354A"/>
    <w:rsid w:val="00C74379"/>
    <w:rsid w:val="00C74DD8"/>
    <w:rsid w:val="00C75C5E"/>
    <w:rsid w:val="00C76694"/>
    <w:rsid w:val="00C7669F"/>
    <w:rsid w:val="00C76DFF"/>
    <w:rsid w:val="00C80B8F"/>
    <w:rsid w:val="00C82743"/>
    <w:rsid w:val="00C834CE"/>
    <w:rsid w:val="00C9047F"/>
    <w:rsid w:val="00C918F5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847"/>
    <w:rsid w:val="00D340B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F1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3E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11E"/>
    <w:rsid w:val="00E3679D"/>
    <w:rsid w:val="00E3795D"/>
    <w:rsid w:val="00E37E98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061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DEC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8E1"/>
    <w:rsid w:val="00FE19C5"/>
    <w:rsid w:val="00FE4286"/>
    <w:rsid w:val="00FE48C3"/>
    <w:rsid w:val="00FE5909"/>
    <w:rsid w:val="00FE652E"/>
    <w:rsid w:val="00FE6BB5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AA279-82B5-4023-82D8-1D330F3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20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20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20B5"/>
    <w:rPr>
      <w:b/>
      <w:bCs/>
    </w:rPr>
  </w:style>
  <w:style w:type="character" w:styleId="Hyperlink">
    <w:name w:val="Hyperlink"/>
    <w:basedOn w:val="DefaultParagraphFont"/>
    <w:unhideWhenUsed/>
    <w:rsid w:val="002C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3204</Characters>
  <Application>Microsoft Office Word</Application>
  <DocSecurity>4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SB00581 (Committee Report (Unamended))</vt:lpstr>
    </vt:vector>
  </TitlesOfParts>
  <Company>State of Texas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23003</dc:subject>
  <dc:creator>State of Texas</dc:creator>
  <dc:description>SB 581 by Bettencourt-(H)Business &amp; Industry</dc:description>
  <cp:lastModifiedBy>Stacey Nicchio</cp:lastModifiedBy>
  <cp:revision>2</cp:revision>
  <cp:lastPrinted>2003-11-26T17:21:00Z</cp:lastPrinted>
  <dcterms:created xsi:type="dcterms:W3CDTF">2021-05-04T16:43:00Z</dcterms:created>
  <dcterms:modified xsi:type="dcterms:W3CDTF">2021-05-04T16:43:00Z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21.118.1126</vt:lpwstr>
  </property>
</Properties>
</file>