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71940" w14:paraId="048F1CDF" w14:textId="77777777" w:rsidTr="00345119">
        <w:tc>
          <w:tcPr>
            <w:tcW w:w="9576" w:type="dxa"/>
            <w:noWrap/>
          </w:tcPr>
          <w:p w14:paraId="0687031D" w14:textId="77777777" w:rsidR="008423E4" w:rsidRPr="0022177D" w:rsidRDefault="005C0983" w:rsidP="0033306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153465F" w14:textId="77777777" w:rsidR="008423E4" w:rsidRPr="0022177D" w:rsidRDefault="008423E4" w:rsidP="0033306F">
      <w:pPr>
        <w:jc w:val="center"/>
      </w:pPr>
    </w:p>
    <w:p w14:paraId="72BF5631" w14:textId="77777777" w:rsidR="008423E4" w:rsidRPr="00B31F0E" w:rsidRDefault="008423E4" w:rsidP="0033306F"/>
    <w:p w14:paraId="315A9209" w14:textId="77777777" w:rsidR="008423E4" w:rsidRPr="00742794" w:rsidRDefault="008423E4" w:rsidP="0033306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71940" w14:paraId="1398D08A" w14:textId="77777777" w:rsidTr="00345119">
        <w:tc>
          <w:tcPr>
            <w:tcW w:w="9576" w:type="dxa"/>
          </w:tcPr>
          <w:p w14:paraId="7AA1286D" w14:textId="77777777" w:rsidR="008423E4" w:rsidRPr="00861995" w:rsidRDefault="005C0983" w:rsidP="0033306F">
            <w:pPr>
              <w:jc w:val="right"/>
            </w:pPr>
            <w:r>
              <w:t>S.B. 599</w:t>
            </w:r>
          </w:p>
        </w:tc>
      </w:tr>
      <w:tr w:rsidR="00771940" w14:paraId="52E494ED" w14:textId="77777777" w:rsidTr="00345119">
        <w:tc>
          <w:tcPr>
            <w:tcW w:w="9576" w:type="dxa"/>
          </w:tcPr>
          <w:p w14:paraId="68850A2F" w14:textId="77777777" w:rsidR="008423E4" w:rsidRPr="00861995" w:rsidRDefault="005C0983" w:rsidP="0033306F">
            <w:pPr>
              <w:jc w:val="right"/>
            </w:pPr>
            <w:r>
              <w:t xml:space="preserve">By: </w:t>
            </w:r>
            <w:r w:rsidR="003F74BF">
              <w:t>Perry</w:t>
            </w:r>
          </w:p>
        </w:tc>
      </w:tr>
      <w:tr w:rsidR="00771940" w14:paraId="6AE29627" w14:textId="77777777" w:rsidTr="00345119">
        <w:tc>
          <w:tcPr>
            <w:tcW w:w="9576" w:type="dxa"/>
          </w:tcPr>
          <w:p w14:paraId="2632187F" w14:textId="77777777" w:rsidR="008423E4" w:rsidRPr="00861995" w:rsidRDefault="005C0983" w:rsidP="0033306F">
            <w:pPr>
              <w:jc w:val="right"/>
            </w:pPr>
            <w:r>
              <w:t>Culture, Recreation &amp; Tourism</w:t>
            </w:r>
          </w:p>
        </w:tc>
      </w:tr>
      <w:tr w:rsidR="00771940" w14:paraId="58EBEBD0" w14:textId="77777777" w:rsidTr="00345119">
        <w:tc>
          <w:tcPr>
            <w:tcW w:w="9576" w:type="dxa"/>
          </w:tcPr>
          <w:p w14:paraId="11A74417" w14:textId="77777777" w:rsidR="008423E4" w:rsidRDefault="005C0983" w:rsidP="0033306F">
            <w:pPr>
              <w:jc w:val="right"/>
            </w:pPr>
            <w:r>
              <w:t>Committee Report (Unamended)</w:t>
            </w:r>
          </w:p>
        </w:tc>
      </w:tr>
    </w:tbl>
    <w:p w14:paraId="6DC27303" w14:textId="77777777" w:rsidR="008423E4" w:rsidRDefault="008423E4" w:rsidP="0033306F">
      <w:pPr>
        <w:tabs>
          <w:tab w:val="right" w:pos="9360"/>
        </w:tabs>
      </w:pPr>
    </w:p>
    <w:p w14:paraId="57C31BDF" w14:textId="77777777" w:rsidR="008423E4" w:rsidRDefault="008423E4" w:rsidP="0033306F"/>
    <w:p w14:paraId="7311157F" w14:textId="77777777" w:rsidR="008423E4" w:rsidRDefault="008423E4" w:rsidP="0033306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71940" w14:paraId="6DFB97A8" w14:textId="77777777" w:rsidTr="00345119">
        <w:tc>
          <w:tcPr>
            <w:tcW w:w="9576" w:type="dxa"/>
          </w:tcPr>
          <w:p w14:paraId="7172A105" w14:textId="77777777" w:rsidR="008423E4" w:rsidRPr="00A8133F" w:rsidRDefault="005C0983" w:rsidP="0033306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5982EA2" w14:textId="77777777" w:rsidR="008423E4" w:rsidRDefault="008423E4" w:rsidP="0033306F"/>
          <w:p w14:paraId="4CCB4F87" w14:textId="1A9B9A78" w:rsidR="00E56ABE" w:rsidRDefault="005C0983" w:rsidP="003330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21441">
              <w:t xml:space="preserve">Concerns have been raised by game wardens and criminal courts </w:t>
            </w:r>
            <w:r w:rsidR="00D04402">
              <w:t>regarding</w:t>
            </w:r>
            <w:r w:rsidRPr="00D21441">
              <w:t xml:space="preserve"> the current process for </w:t>
            </w:r>
            <w:r w:rsidR="00D04402">
              <w:t xml:space="preserve">the </w:t>
            </w:r>
            <w:r w:rsidRPr="00D21441">
              <w:t>disposi</w:t>
            </w:r>
            <w:r w:rsidR="00D04402">
              <w:t>tion</w:t>
            </w:r>
            <w:r w:rsidRPr="00D21441">
              <w:t xml:space="preserve"> of abandoned fishing devices.</w:t>
            </w:r>
            <w:r w:rsidR="005C1C2D">
              <w:t xml:space="preserve"> </w:t>
            </w:r>
            <w:r w:rsidRPr="00D21441">
              <w:t xml:space="preserve">Because of the criminal component </w:t>
            </w:r>
            <w:r w:rsidR="00D04402">
              <w:t>regarding</w:t>
            </w:r>
            <w:r w:rsidRPr="00D21441">
              <w:t xml:space="preserve"> abandoned fishing gear, once a game warden finds an abandoned fishing device</w:t>
            </w:r>
            <w:r w:rsidR="005C1C2D">
              <w:t xml:space="preserve"> the warden</w:t>
            </w:r>
            <w:r w:rsidRPr="00D21441">
              <w:t xml:space="preserve"> </w:t>
            </w:r>
            <w:r w:rsidR="005C1C2D">
              <w:t>is</w:t>
            </w:r>
            <w:r w:rsidRPr="00D21441">
              <w:t xml:space="preserve"> required to bring it to a court for processing </w:t>
            </w:r>
            <w:r w:rsidR="005C1C2D">
              <w:t>where it is left</w:t>
            </w:r>
            <w:r w:rsidR="00D04402">
              <w:t xml:space="preserve"> for</w:t>
            </w:r>
            <w:r w:rsidR="005C1C2D">
              <w:t xml:space="preserve"> </w:t>
            </w:r>
            <w:r w:rsidRPr="00D21441">
              <w:t>a certain period of ti</w:t>
            </w:r>
            <w:r w:rsidRPr="00D21441">
              <w:t xml:space="preserve">me </w:t>
            </w:r>
            <w:r w:rsidR="005C1C2D">
              <w:t xml:space="preserve">while the </w:t>
            </w:r>
            <w:r w:rsidRPr="00D21441">
              <w:t>owner</w:t>
            </w:r>
            <w:r w:rsidR="005C1C2D">
              <w:t xml:space="preserve"> is attempted to be identified</w:t>
            </w:r>
            <w:r w:rsidRPr="00D21441">
              <w:t>. This</w:t>
            </w:r>
            <w:r w:rsidR="00282533">
              <w:t xml:space="preserve"> tedious</w:t>
            </w:r>
            <w:r w:rsidRPr="00D21441">
              <w:t xml:space="preserve"> </w:t>
            </w:r>
            <w:r w:rsidR="005C1C2D">
              <w:t xml:space="preserve">process </w:t>
            </w:r>
            <w:r w:rsidRPr="00D21441">
              <w:t>has led to</w:t>
            </w:r>
            <w:r w:rsidR="005C1C2D">
              <w:t xml:space="preserve"> a</w:t>
            </w:r>
            <w:r w:rsidRPr="00D21441">
              <w:t xml:space="preserve"> significant backlog for the courts.</w:t>
            </w:r>
            <w:r w:rsidR="00D04402">
              <w:t xml:space="preserve"> </w:t>
            </w:r>
          </w:p>
          <w:p w14:paraId="6E5E6197" w14:textId="77777777" w:rsidR="00E56ABE" w:rsidRDefault="00E56ABE" w:rsidP="003330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972B6BF" w14:textId="319F265D" w:rsidR="00D21441" w:rsidRDefault="005C0983" w:rsidP="003330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599 seek</w:t>
            </w:r>
            <w:r w:rsidR="00D04402">
              <w:t>s</w:t>
            </w:r>
            <w:r>
              <w:t xml:space="preserve"> to</w:t>
            </w:r>
            <w:r w:rsidRPr="00D21441">
              <w:t xml:space="preserve"> make it easier for game wardens to dispose of abandoned fishing devices by</w:t>
            </w:r>
            <w:r>
              <w:t xml:space="preserve"> </w:t>
            </w:r>
            <w:r w:rsidRPr="005C1C2D">
              <w:t>establish</w:t>
            </w:r>
            <w:r>
              <w:t>ing</w:t>
            </w:r>
            <w:r w:rsidRPr="005C1C2D">
              <w:t xml:space="preserve"> that an abandoned fishing de</w:t>
            </w:r>
            <w:r w:rsidRPr="005C1C2D">
              <w:t>vice is litter for applicable purposes of the Texas Litter Abatement Act and is subject to immediate removal and disposal</w:t>
            </w:r>
            <w:r>
              <w:t>.</w:t>
            </w:r>
          </w:p>
          <w:p w14:paraId="5A579BA9" w14:textId="77777777" w:rsidR="008423E4" w:rsidRPr="00E26B13" w:rsidRDefault="008423E4" w:rsidP="0033306F">
            <w:pPr>
              <w:rPr>
                <w:b/>
              </w:rPr>
            </w:pPr>
          </w:p>
        </w:tc>
      </w:tr>
      <w:tr w:rsidR="00771940" w14:paraId="0D65B050" w14:textId="77777777" w:rsidTr="00345119">
        <w:tc>
          <w:tcPr>
            <w:tcW w:w="9576" w:type="dxa"/>
          </w:tcPr>
          <w:p w14:paraId="67F5EC22" w14:textId="77777777" w:rsidR="0017725B" w:rsidRDefault="005C0983" w:rsidP="0033306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070C7F7" w14:textId="77777777" w:rsidR="0017725B" w:rsidRDefault="0017725B" w:rsidP="0033306F">
            <w:pPr>
              <w:rPr>
                <w:b/>
                <w:u w:val="single"/>
              </w:rPr>
            </w:pPr>
          </w:p>
          <w:p w14:paraId="4B1521DE" w14:textId="60C53F9C" w:rsidR="008A266D" w:rsidRPr="008A266D" w:rsidRDefault="005C0983" w:rsidP="0033306F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14:paraId="5914C8BC" w14:textId="77777777" w:rsidR="0017725B" w:rsidRPr="0017725B" w:rsidRDefault="0017725B" w:rsidP="0033306F">
            <w:pPr>
              <w:rPr>
                <w:b/>
                <w:u w:val="single"/>
              </w:rPr>
            </w:pPr>
          </w:p>
        </w:tc>
      </w:tr>
      <w:tr w:rsidR="00771940" w14:paraId="62BF73B1" w14:textId="77777777" w:rsidTr="00345119">
        <w:tc>
          <w:tcPr>
            <w:tcW w:w="9576" w:type="dxa"/>
          </w:tcPr>
          <w:p w14:paraId="1129A2A4" w14:textId="77777777" w:rsidR="008423E4" w:rsidRPr="00A8133F" w:rsidRDefault="005C0983" w:rsidP="0033306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5511C30" w14:textId="77777777" w:rsidR="008423E4" w:rsidRDefault="008423E4" w:rsidP="0033306F"/>
          <w:p w14:paraId="2B5B0626" w14:textId="7D953183" w:rsidR="008A266D" w:rsidRDefault="005C0983" w:rsidP="003330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</w:t>
            </w:r>
            <w:r>
              <w:t xml:space="preserve">essly granted to the </w:t>
            </w:r>
            <w:r w:rsidRPr="008A266D">
              <w:t>Parks and Wildlife Commission</w:t>
            </w:r>
            <w:r>
              <w:t xml:space="preserve"> in </w:t>
            </w:r>
            <w:r w:rsidRPr="008A266D">
              <w:t>SECTION 1</w:t>
            </w:r>
            <w:r>
              <w:t xml:space="preserve"> of this bill.</w:t>
            </w:r>
          </w:p>
          <w:p w14:paraId="577FF3F9" w14:textId="77777777" w:rsidR="008423E4" w:rsidRPr="00E21FDC" w:rsidRDefault="008423E4" w:rsidP="0033306F">
            <w:pPr>
              <w:rPr>
                <w:b/>
              </w:rPr>
            </w:pPr>
          </w:p>
        </w:tc>
      </w:tr>
      <w:tr w:rsidR="00771940" w14:paraId="73CDC50C" w14:textId="77777777" w:rsidTr="00345119">
        <w:tc>
          <w:tcPr>
            <w:tcW w:w="9576" w:type="dxa"/>
          </w:tcPr>
          <w:p w14:paraId="65C63E24" w14:textId="77777777" w:rsidR="008423E4" w:rsidRPr="00A8133F" w:rsidRDefault="005C0983" w:rsidP="0033306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14ADA0D" w14:textId="77777777" w:rsidR="008423E4" w:rsidRDefault="008423E4" w:rsidP="0033306F"/>
          <w:p w14:paraId="2F9BD893" w14:textId="57DA47F3" w:rsidR="007E4780" w:rsidRDefault="005C0983" w:rsidP="003330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D71C1">
              <w:t>S</w:t>
            </w:r>
            <w:r>
              <w:t>.</w:t>
            </w:r>
            <w:r w:rsidRPr="00CD71C1">
              <w:t>B</w:t>
            </w:r>
            <w:r>
              <w:t xml:space="preserve">. </w:t>
            </w:r>
            <w:r w:rsidRPr="00CD71C1">
              <w:t>599</w:t>
            </w:r>
            <w:r>
              <w:t xml:space="preserve"> amends the </w:t>
            </w:r>
            <w:r w:rsidRPr="00CD71C1">
              <w:t>Parks and Wildlife Code</w:t>
            </w:r>
            <w:r>
              <w:t xml:space="preserve"> to establish that an</w:t>
            </w:r>
            <w:r w:rsidRPr="00CD71C1">
              <w:t xml:space="preserve"> abandoned fishing device is litter for </w:t>
            </w:r>
            <w:r>
              <w:t xml:space="preserve">applicable </w:t>
            </w:r>
            <w:r w:rsidRPr="00CD71C1">
              <w:t xml:space="preserve">purposes of the Texas Litter Abatement Act and is subject to immediate removal and disposal. </w:t>
            </w:r>
            <w:r>
              <w:t>The bill requires, e</w:t>
            </w:r>
            <w:r w:rsidRPr="00CD71C1">
              <w:t xml:space="preserve">xcept as </w:t>
            </w:r>
            <w:r>
              <w:t xml:space="preserve">otherwise </w:t>
            </w:r>
            <w:r w:rsidRPr="00CD71C1">
              <w:t>provided</w:t>
            </w:r>
            <w:r>
              <w:t xml:space="preserve">, </w:t>
            </w:r>
            <w:r w:rsidRPr="00CD71C1">
              <w:t xml:space="preserve">an abandoned fishing device </w:t>
            </w:r>
            <w:r>
              <w:t>to</w:t>
            </w:r>
            <w:r w:rsidRPr="00CD71C1">
              <w:t xml:space="preserve"> be disposed of in compliance </w:t>
            </w:r>
            <w:r>
              <w:t xml:space="preserve">with the Health and Safety Code and defines </w:t>
            </w:r>
            <w:r w:rsidRPr="007E4780">
              <w:t>"abandoned</w:t>
            </w:r>
            <w:r w:rsidRPr="007E4780">
              <w:t xml:space="preserve"> fishing device" </w:t>
            </w:r>
            <w:r>
              <w:t>a</w:t>
            </w:r>
            <w:r w:rsidRPr="007E4780">
              <w:t>s an unattended fishing device located i</w:t>
            </w:r>
            <w:r>
              <w:t xml:space="preserve">n the public water of </w:t>
            </w:r>
            <w:r w:rsidR="00C14DCF">
              <w:t>Texas</w:t>
            </w:r>
            <w:r w:rsidRPr="007E4780">
              <w:t xml:space="preserve"> that is placed in violation of a provision of </w:t>
            </w:r>
            <w:r>
              <w:t>the Parks and Wildlife</w:t>
            </w:r>
            <w:r w:rsidRPr="007E4780">
              <w:t xml:space="preserve"> </w:t>
            </w:r>
            <w:r>
              <w:t>C</w:t>
            </w:r>
            <w:r w:rsidRPr="007E4780">
              <w:t>ode or Parks and Wildlife Commission rule</w:t>
            </w:r>
            <w:r>
              <w:t>.</w:t>
            </w:r>
          </w:p>
          <w:p w14:paraId="08D04D8F" w14:textId="77777777" w:rsidR="007E4780" w:rsidRDefault="007E4780" w:rsidP="003330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A3C10DF" w14:textId="77777777" w:rsidR="007E4780" w:rsidRDefault="005C0983" w:rsidP="003330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599 authorizes the commission to adopt rules to gov</w:t>
            </w:r>
            <w:r>
              <w:t>ern the removal and disposal of abandoned fishing devices as necessary to enhance the following:</w:t>
            </w:r>
          </w:p>
          <w:p w14:paraId="2D6019C3" w14:textId="77777777" w:rsidR="007E4780" w:rsidRDefault="005C0983" w:rsidP="0033306F">
            <w:pPr>
              <w:pStyle w:val="Header"/>
              <w:numPr>
                <w:ilvl w:val="0"/>
                <w:numId w:val="1"/>
              </w:numPr>
              <w:jc w:val="both"/>
            </w:pPr>
            <w:r>
              <w:t>enforcement of applicable bill provisions;</w:t>
            </w:r>
          </w:p>
          <w:p w14:paraId="5AC9086F" w14:textId="77777777" w:rsidR="007E4780" w:rsidRDefault="005C0983" w:rsidP="0033306F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cleanliness of the beds and bottoms of the public water of the state;</w:t>
            </w:r>
          </w:p>
          <w:p w14:paraId="6D5565CF" w14:textId="77777777" w:rsidR="007E4780" w:rsidRDefault="005C0983" w:rsidP="0033306F">
            <w:pPr>
              <w:pStyle w:val="Header"/>
              <w:numPr>
                <w:ilvl w:val="0"/>
                <w:numId w:val="1"/>
              </w:numPr>
              <w:jc w:val="both"/>
            </w:pPr>
            <w:r>
              <w:t>boating safety; and</w:t>
            </w:r>
          </w:p>
          <w:p w14:paraId="002FAE17" w14:textId="77777777" w:rsidR="007E4780" w:rsidRDefault="005C0983" w:rsidP="0033306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conservation and </w:t>
            </w:r>
            <w:r>
              <w:t>management of aquatic resources.</w:t>
            </w:r>
          </w:p>
          <w:p w14:paraId="40364D72" w14:textId="77777777" w:rsidR="007E4780" w:rsidRDefault="007E4780" w:rsidP="003330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E45E4E1" w14:textId="77777777" w:rsidR="007E4780" w:rsidRDefault="005C0983" w:rsidP="003330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599 grants a</w:t>
            </w:r>
            <w:r w:rsidRPr="007E4780">
              <w:t xml:space="preserve"> game warden or other peace officer </w:t>
            </w:r>
            <w:r>
              <w:t>immunity</w:t>
            </w:r>
            <w:r w:rsidRPr="007E4780">
              <w:t xml:space="preserve"> from liability and from suit for the removal or disposal of an abandoned fishing device</w:t>
            </w:r>
            <w:r>
              <w:t>.</w:t>
            </w:r>
            <w:r w:rsidR="00292B01">
              <w:t xml:space="preserve"> </w:t>
            </w:r>
            <w:r w:rsidRPr="007E4780">
              <w:t xml:space="preserve">On request of an authorized representative of a unit of The University </w:t>
            </w:r>
            <w:r w:rsidRPr="007E4780">
              <w:t xml:space="preserve">of Texas System, The Texas A&amp;M University System, or the Texas State University System engaged in teaching and research related to marine science and oceanography, the </w:t>
            </w:r>
            <w:r w:rsidR="00292B01" w:rsidRPr="00292B01">
              <w:t>Parks and Wildlife Department</w:t>
            </w:r>
            <w:r w:rsidRPr="007E4780">
              <w:t xml:space="preserve"> may transfer an abandoned fishing d</w:t>
            </w:r>
            <w:r w:rsidR="00292B01">
              <w:t>evice removed under the bill's provisions</w:t>
            </w:r>
            <w:r w:rsidRPr="007E4780">
              <w:t xml:space="preserve"> to the unit for use in the unit's teaching or research programs.</w:t>
            </w:r>
          </w:p>
          <w:p w14:paraId="5A6A8B7D" w14:textId="77777777" w:rsidR="00292B01" w:rsidRDefault="00292B01" w:rsidP="003330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4762F13" w14:textId="77777777" w:rsidR="001A4FAF" w:rsidRDefault="005C0983" w:rsidP="003330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599 </w:t>
            </w:r>
            <w:r w:rsidR="00F87166">
              <w:t xml:space="preserve">expands </w:t>
            </w:r>
            <w:r w:rsidR="00D92799">
              <w:t xml:space="preserve">the unlawful fishing devices for which a </w:t>
            </w:r>
            <w:r w:rsidR="00D92799" w:rsidRPr="00D92799">
              <w:t>game warden or other peace officer is immune</w:t>
            </w:r>
            <w:r w:rsidR="00A67E7C">
              <w:t xml:space="preserve"> from liability and</w:t>
            </w:r>
            <w:r w:rsidR="00D92799" w:rsidRPr="00D92799">
              <w:t xml:space="preserve"> from suit for a</w:t>
            </w:r>
            <w:r w:rsidR="00D92799">
              <w:t>n applicable</w:t>
            </w:r>
            <w:r w:rsidR="00D92799" w:rsidRPr="00D92799">
              <w:t xml:space="preserve"> seizure or destruction</w:t>
            </w:r>
            <w:r w:rsidR="00D92799">
              <w:t xml:space="preserve"> from only a net to </w:t>
            </w:r>
            <w:r w:rsidR="00F87166">
              <w:t xml:space="preserve">a </w:t>
            </w:r>
            <w:r w:rsidR="00F87166" w:rsidRPr="00F87166">
              <w:t>seine, trawl, trap, or other device</w:t>
            </w:r>
            <w:r w:rsidR="00D92799">
              <w:t>.</w:t>
            </w:r>
            <w:r w:rsidR="00F87166">
              <w:t xml:space="preserve"> </w:t>
            </w:r>
          </w:p>
          <w:p w14:paraId="04F8BEA1" w14:textId="77777777" w:rsidR="00292B01" w:rsidRDefault="00292B01" w:rsidP="003330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5B5C7FB" w14:textId="2E198479" w:rsidR="00292B01" w:rsidRPr="009C36CD" w:rsidRDefault="005C0983" w:rsidP="003330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599 </w:t>
            </w:r>
            <w:r w:rsidR="00794826">
              <w:t xml:space="preserve">repeals </w:t>
            </w:r>
            <w:r w:rsidR="00794826" w:rsidRPr="00794826">
              <w:t>Section 12.1105(c), Parks and Wildlife Code</w:t>
            </w:r>
            <w:r w:rsidR="00794826">
              <w:t xml:space="preserve">, relating to notice, hearing, and </w:t>
            </w:r>
            <w:r w:rsidR="000D0AB2">
              <w:t>destruction regarding</w:t>
            </w:r>
            <w:r w:rsidR="00794826">
              <w:t xml:space="preserve"> a </w:t>
            </w:r>
            <w:r w:rsidR="00794826" w:rsidRPr="00794826">
              <w:t>seiz</w:t>
            </w:r>
            <w:r w:rsidR="00794826">
              <w:t xml:space="preserve">ed </w:t>
            </w:r>
            <w:r w:rsidR="00794826" w:rsidRPr="00794826">
              <w:t>seine, net, trawl, trap, or other device</w:t>
            </w:r>
            <w:r w:rsidR="00794826">
              <w:t xml:space="preserve"> </w:t>
            </w:r>
            <w:r w:rsidR="00B3241D">
              <w:t>for</w:t>
            </w:r>
            <w:r w:rsidR="00794826">
              <w:t xml:space="preserve"> which no person is charged with an offense in connection with </w:t>
            </w:r>
            <w:r w:rsidR="001A4FAF">
              <w:t>the seized</w:t>
            </w:r>
            <w:r w:rsidR="00794826">
              <w:t xml:space="preserve"> device</w:t>
            </w:r>
            <w:r w:rsidR="000B3F7C">
              <w:t xml:space="preserve"> and no person</w:t>
            </w:r>
            <w:r w:rsidR="001A4FAF">
              <w:t xml:space="preserve"> is found in possession of the device.</w:t>
            </w:r>
            <w:r w:rsidR="00794826">
              <w:t xml:space="preserve"> </w:t>
            </w:r>
          </w:p>
          <w:p w14:paraId="39C5C971" w14:textId="77777777" w:rsidR="008423E4" w:rsidRPr="00835628" w:rsidRDefault="008423E4" w:rsidP="0033306F">
            <w:pPr>
              <w:rPr>
                <w:b/>
              </w:rPr>
            </w:pPr>
          </w:p>
        </w:tc>
      </w:tr>
      <w:tr w:rsidR="00771940" w14:paraId="2BF1E9DE" w14:textId="77777777" w:rsidTr="00345119">
        <w:tc>
          <w:tcPr>
            <w:tcW w:w="9576" w:type="dxa"/>
          </w:tcPr>
          <w:p w14:paraId="380D44C3" w14:textId="77777777" w:rsidR="008423E4" w:rsidRPr="00A8133F" w:rsidRDefault="005C0983" w:rsidP="0033306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013B9CA" w14:textId="77777777" w:rsidR="008423E4" w:rsidRDefault="008423E4" w:rsidP="0033306F"/>
          <w:p w14:paraId="3FCB6921" w14:textId="160450CE" w:rsidR="008423E4" w:rsidRPr="003624F2" w:rsidRDefault="005C0983" w:rsidP="003330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98CDC72" w14:textId="77777777" w:rsidR="008423E4" w:rsidRPr="00233FDB" w:rsidRDefault="008423E4" w:rsidP="0033306F">
            <w:pPr>
              <w:rPr>
                <w:b/>
              </w:rPr>
            </w:pPr>
          </w:p>
        </w:tc>
      </w:tr>
    </w:tbl>
    <w:p w14:paraId="7AA5A537" w14:textId="77777777" w:rsidR="008423E4" w:rsidRPr="00BE0E75" w:rsidRDefault="008423E4" w:rsidP="0033306F">
      <w:pPr>
        <w:jc w:val="both"/>
        <w:rPr>
          <w:rFonts w:ascii="Arial" w:hAnsi="Arial"/>
          <w:sz w:val="16"/>
          <w:szCs w:val="16"/>
        </w:rPr>
      </w:pPr>
    </w:p>
    <w:p w14:paraId="3FC01854" w14:textId="77777777" w:rsidR="004108C3" w:rsidRPr="008423E4" w:rsidRDefault="004108C3" w:rsidP="0033306F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7BF29" w14:textId="77777777" w:rsidR="00000000" w:rsidRDefault="005C0983">
      <w:r>
        <w:separator/>
      </w:r>
    </w:p>
  </w:endnote>
  <w:endnote w:type="continuationSeparator" w:id="0">
    <w:p w14:paraId="211F0447" w14:textId="77777777" w:rsidR="00000000" w:rsidRDefault="005C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F6B3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71940" w14:paraId="165B6C3B" w14:textId="77777777" w:rsidTr="009C1E9A">
      <w:trPr>
        <w:cantSplit/>
      </w:trPr>
      <w:tc>
        <w:tcPr>
          <w:tcW w:w="0" w:type="pct"/>
        </w:tcPr>
        <w:p w14:paraId="34E58B3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51AC0B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E610F9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CA06F8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1E4173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71940" w14:paraId="582581AC" w14:textId="77777777" w:rsidTr="009C1E9A">
      <w:trPr>
        <w:cantSplit/>
      </w:trPr>
      <w:tc>
        <w:tcPr>
          <w:tcW w:w="0" w:type="pct"/>
        </w:tcPr>
        <w:p w14:paraId="4C53BF5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3E05761" w14:textId="77777777" w:rsidR="00EC379B" w:rsidRPr="009C1E9A" w:rsidRDefault="005C098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20545</w:t>
          </w:r>
        </w:p>
      </w:tc>
      <w:tc>
        <w:tcPr>
          <w:tcW w:w="2453" w:type="pct"/>
        </w:tcPr>
        <w:p w14:paraId="1084F7DD" w14:textId="057BCAFF" w:rsidR="00EC379B" w:rsidRDefault="005C098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53DB0">
            <w:t>21.108.192</w:t>
          </w:r>
          <w:r>
            <w:fldChar w:fldCharType="end"/>
          </w:r>
        </w:p>
      </w:tc>
    </w:tr>
    <w:tr w:rsidR="00771940" w14:paraId="5FE9CB61" w14:textId="77777777" w:rsidTr="009C1E9A">
      <w:trPr>
        <w:cantSplit/>
      </w:trPr>
      <w:tc>
        <w:tcPr>
          <w:tcW w:w="0" w:type="pct"/>
        </w:tcPr>
        <w:p w14:paraId="31EC79A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803D129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57BF56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F822C4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71940" w14:paraId="0382F8F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72C206E" w14:textId="74E25E39" w:rsidR="00EC379B" w:rsidRDefault="005C098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3306F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62E4EDC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296A18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A48BC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5954B" w14:textId="77777777" w:rsidR="00000000" w:rsidRDefault="005C0983">
      <w:r>
        <w:separator/>
      </w:r>
    </w:p>
  </w:footnote>
  <w:footnote w:type="continuationSeparator" w:id="0">
    <w:p w14:paraId="059D8F6D" w14:textId="77777777" w:rsidR="00000000" w:rsidRDefault="005C0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5C64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9AD7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C7195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41085"/>
    <w:multiLevelType w:val="hybridMultilevel"/>
    <w:tmpl w:val="7D989C28"/>
    <w:lvl w:ilvl="0" w:tplc="C024BC6A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E05A8CE2" w:tentative="1">
      <w:start w:val="1"/>
      <w:numFmt w:val="lowerLetter"/>
      <w:lvlText w:val="%2."/>
      <w:lvlJc w:val="left"/>
      <w:pPr>
        <w:ind w:left="1440" w:hanging="360"/>
      </w:pPr>
    </w:lvl>
    <w:lvl w:ilvl="2" w:tplc="393409C6" w:tentative="1">
      <w:start w:val="1"/>
      <w:numFmt w:val="lowerRoman"/>
      <w:lvlText w:val="%3."/>
      <w:lvlJc w:val="right"/>
      <w:pPr>
        <w:ind w:left="2160" w:hanging="180"/>
      </w:pPr>
    </w:lvl>
    <w:lvl w:ilvl="3" w:tplc="62B41BB6" w:tentative="1">
      <w:start w:val="1"/>
      <w:numFmt w:val="decimal"/>
      <w:lvlText w:val="%4."/>
      <w:lvlJc w:val="left"/>
      <w:pPr>
        <w:ind w:left="2880" w:hanging="360"/>
      </w:pPr>
    </w:lvl>
    <w:lvl w:ilvl="4" w:tplc="53BCE344" w:tentative="1">
      <w:start w:val="1"/>
      <w:numFmt w:val="lowerLetter"/>
      <w:lvlText w:val="%5."/>
      <w:lvlJc w:val="left"/>
      <w:pPr>
        <w:ind w:left="3600" w:hanging="360"/>
      </w:pPr>
    </w:lvl>
    <w:lvl w:ilvl="5" w:tplc="515CA726" w:tentative="1">
      <w:start w:val="1"/>
      <w:numFmt w:val="lowerRoman"/>
      <w:lvlText w:val="%6."/>
      <w:lvlJc w:val="right"/>
      <w:pPr>
        <w:ind w:left="4320" w:hanging="180"/>
      </w:pPr>
    </w:lvl>
    <w:lvl w:ilvl="6" w:tplc="E71A6E1A" w:tentative="1">
      <w:start w:val="1"/>
      <w:numFmt w:val="decimal"/>
      <w:lvlText w:val="%7."/>
      <w:lvlJc w:val="left"/>
      <w:pPr>
        <w:ind w:left="5040" w:hanging="360"/>
      </w:pPr>
    </w:lvl>
    <w:lvl w:ilvl="7" w:tplc="79A094C2" w:tentative="1">
      <w:start w:val="1"/>
      <w:numFmt w:val="lowerLetter"/>
      <w:lvlText w:val="%8."/>
      <w:lvlJc w:val="left"/>
      <w:pPr>
        <w:ind w:left="5760" w:hanging="360"/>
      </w:pPr>
    </w:lvl>
    <w:lvl w:ilvl="8" w:tplc="645C89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55D8F"/>
    <w:multiLevelType w:val="hybridMultilevel"/>
    <w:tmpl w:val="FDEA9B1E"/>
    <w:lvl w:ilvl="0" w:tplc="AE2AF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FC16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E8BA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260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2A72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9428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1459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A2CA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2881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B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1EE2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3F7C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0AB2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17CE3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4FAF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2533"/>
    <w:rsid w:val="002874E3"/>
    <w:rsid w:val="00287656"/>
    <w:rsid w:val="00291518"/>
    <w:rsid w:val="00292B01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06F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4BF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3DB0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4E3F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0983"/>
    <w:rsid w:val="005C1496"/>
    <w:rsid w:val="005C17C5"/>
    <w:rsid w:val="005C1C2D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1790E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1940"/>
    <w:rsid w:val="00777518"/>
    <w:rsid w:val="0077779E"/>
    <w:rsid w:val="00780FB6"/>
    <w:rsid w:val="0078552A"/>
    <w:rsid w:val="00785729"/>
    <w:rsid w:val="00786058"/>
    <w:rsid w:val="00794826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4780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266D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1B93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7E7C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241D"/>
    <w:rsid w:val="00B34F25"/>
    <w:rsid w:val="00B35963"/>
    <w:rsid w:val="00B43672"/>
    <w:rsid w:val="00B473D8"/>
    <w:rsid w:val="00B5165A"/>
    <w:rsid w:val="00B520D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6C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DCF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47C01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1C1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4402"/>
    <w:rsid w:val="00D060A8"/>
    <w:rsid w:val="00D06605"/>
    <w:rsid w:val="00D0720F"/>
    <w:rsid w:val="00D074E2"/>
    <w:rsid w:val="00D11B0B"/>
    <w:rsid w:val="00D12A3E"/>
    <w:rsid w:val="00D21441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2B9B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799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56ABE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0DF1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2F90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87166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692DF1-2D66-40C8-8A62-CD033836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D71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71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71C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7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71C1"/>
    <w:rPr>
      <w:b/>
      <w:bCs/>
    </w:rPr>
  </w:style>
  <w:style w:type="character" w:styleId="Hyperlink">
    <w:name w:val="Hyperlink"/>
    <w:basedOn w:val="DefaultParagraphFont"/>
    <w:unhideWhenUsed/>
    <w:rsid w:val="00CD71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F4E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2831</Characters>
  <Application>Microsoft Office Word</Application>
  <DocSecurity>4</DocSecurity>
  <Lines>73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SB00599 (Committee Report (Unamended))</vt:lpstr>
    </vt:vector>
  </TitlesOfParts>
  <Company>State of Texas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20545</dc:subject>
  <dc:creator>State of Texas</dc:creator>
  <dc:description>SB 599 by Perry-(H)Culture, Recreation &amp; Tourism</dc:description>
  <cp:lastModifiedBy>Lauren Bustamente</cp:lastModifiedBy>
  <cp:revision>2</cp:revision>
  <cp:lastPrinted>2003-11-26T17:21:00Z</cp:lastPrinted>
  <dcterms:created xsi:type="dcterms:W3CDTF">2021-04-21T16:34:00Z</dcterms:created>
  <dcterms:modified xsi:type="dcterms:W3CDTF">2021-04-21T16:34:00Z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21.108.192</vt:lpwstr>
  </property>
</Properties>
</file>