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270BA" w14:paraId="512B8D9A" w14:textId="77777777" w:rsidTr="00345119">
        <w:tc>
          <w:tcPr>
            <w:tcW w:w="9576" w:type="dxa"/>
            <w:noWrap/>
          </w:tcPr>
          <w:p w14:paraId="59774F56" w14:textId="77777777" w:rsidR="008423E4" w:rsidRPr="0022177D" w:rsidRDefault="00005E20" w:rsidP="00AA39B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EE4345A" w14:textId="77777777" w:rsidR="008423E4" w:rsidRPr="00AA39B2" w:rsidRDefault="008423E4" w:rsidP="00AA39B2">
      <w:pPr>
        <w:jc w:val="center"/>
        <w:rPr>
          <w:sz w:val="22"/>
          <w:szCs w:val="22"/>
        </w:rPr>
      </w:pPr>
    </w:p>
    <w:p w14:paraId="63B90748" w14:textId="77777777" w:rsidR="008423E4" w:rsidRPr="00AA39B2" w:rsidRDefault="008423E4" w:rsidP="00AA39B2">
      <w:pPr>
        <w:rPr>
          <w:sz w:val="22"/>
          <w:szCs w:val="22"/>
        </w:rPr>
      </w:pPr>
    </w:p>
    <w:p w14:paraId="4C5943E6" w14:textId="77777777" w:rsidR="008423E4" w:rsidRPr="00AA39B2" w:rsidRDefault="008423E4" w:rsidP="00AA39B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70BA" w14:paraId="598B1D95" w14:textId="77777777" w:rsidTr="00345119">
        <w:tc>
          <w:tcPr>
            <w:tcW w:w="9576" w:type="dxa"/>
          </w:tcPr>
          <w:p w14:paraId="178EBA3B" w14:textId="22259C56" w:rsidR="008423E4" w:rsidRPr="00861995" w:rsidRDefault="00005E20" w:rsidP="00AA39B2">
            <w:pPr>
              <w:jc w:val="right"/>
            </w:pPr>
            <w:r>
              <w:t>S.B. 623</w:t>
            </w:r>
          </w:p>
        </w:tc>
      </w:tr>
      <w:tr w:rsidR="009270BA" w14:paraId="57B6FDD5" w14:textId="77777777" w:rsidTr="00345119">
        <w:tc>
          <w:tcPr>
            <w:tcW w:w="9576" w:type="dxa"/>
          </w:tcPr>
          <w:p w14:paraId="48FAC727" w14:textId="4B207F57" w:rsidR="008423E4" w:rsidRPr="00861995" w:rsidRDefault="00005E20" w:rsidP="00AA39B2">
            <w:pPr>
              <w:jc w:val="right"/>
            </w:pPr>
            <w:r>
              <w:t xml:space="preserve">By: </w:t>
            </w:r>
            <w:r w:rsidR="00CD7E48">
              <w:t>Blanco</w:t>
            </w:r>
          </w:p>
        </w:tc>
      </w:tr>
      <w:tr w:rsidR="009270BA" w14:paraId="58D03A3E" w14:textId="77777777" w:rsidTr="00345119">
        <w:tc>
          <w:tcPr>
            <w:tcW w:w="9576" w:type="dxa"/>
          </w:tcPr>
          <w:p w14:paraId="2234A5FA" w14:textId="68EBC361" w:rsidR="008423E4" w:rsidRPr="00861995" w:rsidRDefault="00005E20" w:rsidP="00AA39B2">
            <w:pPr>
              <w:jc w:val="right"/>
            </w:pPr>
            <w:r>
              <w:t>Defense &amp; Veterans' Affairs</w:t>
            </w:r>
          </w:p>
        </w:tc>
      </w:tr>
      <w:tr w:rsidR="009270BA" w14:paraId="76ADEC63" w14:textId="77777777" w:rsidTr="00345119">
        <w:tc>
          <w:tcPr>
            <w:tcW w:w="9576" w:type="dxa"/>
          </w:tcPr>
          <w:p w14:paraId="47572EDF" w14:textId="1FED099F" w:rsidR="008423E4" w:rsidRDefault="00005E20" w:rsidP="00AA39B2">
            <w:pPr>
              <w:jc w:val="right"/>
            </w:pPr>
            <w:r>
              <w:t>Committee Report (Unamended)</w:t>
            </w:r>
          </w:p>
        </w:tc>
      </w:tr>
    </w:tbl>
    <w:p w14:paraId="095287D5" w14:textId="77777777" w:rsidR="008423E4" w:rsidRPr="00AA39B2" w:rsidRDefault="008423E4" w:rsidP="00AA39B2">
      <w:pPr>
        <w:tabs>
          <w:tab w:val="right" w:pos="9360"/>
        </w:tabs>
      </w:pPr>
    </w:p>
    <w:p w14:paraId="3E319F37" w14:textId="77777777" w:rsidR="008423E4" w:rsidRDefault="008423E4" w:rsidP="00AA39B2"/>
    <w:p w14:paraId="10B5DA99" w14:textId="77777777" w:rsidR="008423E4" w:rsidRPr="00AA39B2" w:rsidRDefault="008423E4" w:rsidP="00AA39B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270BA" w14:paraId="15F2F8B4" w14:textId="77777777" w:rsidTr="00345119">
        <w:tc>
          <w:tcPr>
            <w:tcW w:w="9576" w:type="dxa"/>
          </w:tcPr>
          <w:p w14:paraId="2B8FDC5A" w14:textId="77777777" w:rsidR="008423E4" w:rsidRPr="00A8133F" w:rsidRDefault="00005E20" w:rsidP="00AA39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9052816" w14:textId="77777777" w:rsidR="008423E4" w:rsidRPr="00AA39B2" w:rsidRDefault="008423E4" w:rsidP="00AA39B2"/>
          <w:p w14:paraId="7A6155E6" w14:textId="280AE895" w:rsidR="002F7F81" w:rsidRDefault="00005E20" w:rsidP="00AA39B2">
            <w:pPr>
              <w:pStyle w:val="Header"/>
              <w:jc w:val="both"/>
            </w:pPr>
            <w:r>
              <w:t xml:space="preserve">In the U.S. military, victims of sexual assault can report offenses to a federally employed </w:t>
            </w:r>
            <w:r w:rsidR="00180360">
              <w:t>s</w:t>
            </w:r>
            <w:r>
              <w:t xml:space="preserve">exual </w:t>
            </w:r>
            <w:r w:rsidR="00180360">
              <w:t>a</w:t>
            </w:r>
            <w:r>
              <w:t xml:space="preserve">ssault </w:t>
            </w:r>
            <w:r w:rsidR="00180360">
              <w:t>r</w:t>
            </w:r>
            <w:r>
              <w:t xml:space="preserve">esponse </w:t>
            </w:r>
            <w:r w:rsidR="00180360">
              <w:t>c</w:t>
            </w:r>
            <w:r>
              <w:t>oordinator</w:t>
            </w:r>
            <w:r w:rsidR="006246DA">
              <w:t>,</w:t>
            </w:r>
            <w:r>
              <w:t xml:space="preserve"> who must </w:t>
            </w:r>
            <w:r w:rsidR="00180360">
              <w:t xml:space="preserve">then </w:t>
            </w:r>
            <w:r>
              <w:t xml:space="preserve">alert the </w:t>
            </w:r>
            <w:r w:rsidR="00BB0076">
              <w:t xml:space="preserve">victim's </w:t>
            </w:r>
            <w:r>
              <w:t>commander</w:t>
            </w:r>
            <w:r w:rsidR="00180360">
              <w:t xml:space="preserve"> if</w:t>
            </w:r>
            <w:r>
              <w:t xml:space="preserve"> the victim choose</w:t>
            </w:r>
            <w:r w:rsidR="00180360">
              <w:t>s</w:t>
            </w:r>
            <w:r>
              <w:t xml:space="preserve"> to pursue a criminal investigation. </w:t>
            </w:r>
            <w:r w:rsidR="006246DA">
              <w:t>After reporting a sexual assault offense, a s</w:t>
            </w:r>
            <w:r>
              <w:t xml:space="preserve">ervice member may receive a </w:t>
            </w:r>
            <w:r w:rsidR="00180360">
              <w:t>m</w:t>
            </w:r>
            <w:r>
              <w:t xml:space="preserve">ilitary </w:t>
            </w:r>
            <w:r w:rsidR="00180360">
              <w:t>p</w:t>
            </w:r>
            <w:r>
              <w:t xml:space="preserve">rotective </w:t>
            </w:r>
            <w:r w:rsidR="00180360">
              <w:t>o</w:t>
            </w:r>
            <w:r>
              <w:t>rder</w:t>
            </w:r>
            <w:r w:rsidR="006246DA">
              <w:t>,</w:t>
            </w:r>
            <w:r>
              <w:t xml:space="preserve"> </w:t>
            </w:r>
            <w:r w:rsidR="00180360">
              <w:t>which</w:t>
            </w:r>
            <w:r>
              <w:t xml:space="preserve"> </w:t>
            </w:r>
            <w:r w:rsidR="006246DA">
              <w:t xml:space="preserve">is a </w:t>
            </w:r>
            <w:r>
              <w:t>short-term order issued by a unit commander</w:t>
            </w:r>
            <w:r>
              <w:t xml:space="preserve"> </w:t>
            </w:r>
            <w:r w:rsidR="00180360">
              <w:t xml:space="preserve">that </w:t>
            </w:r>
            <w:r>
              <w:t xml:space="preserve">ends when </w:t>
            </w:r>
            <w:r w:rsidR="00F43C69">
              <w:t>the</w:t>
            </w:r>
            <w:r>
              <w:t xml:space="preserve"> victim is no longer</w:t>
            </w:r>
            <w:r w:rsidR="00F43C69">
              <w:t xml:space="preserve"> on</w:t>
            </w:r>
            <w:r>
              <w:t xml:space="preserve"> active</w:t>
            </w:r>
            <w:r w:rsidR="00180360">
              <w:t xml:space="preserve"> </w:t>
            </w:r>
            <w:r>
              <w:t xml:space="preserve">duty. Victims of sexual assault </w:t>
            </w:r>
            <w:r w:rsidR="006E320A">
              <w:t>who are service members</w:t>
            </w:r>
            <w:r w:rsidR="00705A14">
              <w:t xml:space="preserve"> </w:t>
            </w:r>
            <w:r>
              <w:t xml:space="preserve">often do not report </w:t>
            </w:r>
            <w:r w:rsidR="00180360">
              <w:t xml:space="preserve">the </w:t>
            </w:r>
            <w:r>
              <w:t>assault</w:t>
            </w:r>
            <w:r w:rsidR="006E320A">
              <w:t>, however,</w:t>
            </w:r>
            <w:r>
              <w:t xml:space="preserve"> due to fear of social and professional retaliation, concerns of confidentiality breaches, and a lack of confidence in the military justice system. </w:t>
            </w:r>
          </w:p>
          <w:p w14:paraId="54D3493B" w14:textId="77777777" w:rsidR="002F7F81" w:rsidRPr="00AA39B2" w:rsidRDefault="002F7F81" w:rsidP="00AA39B2">
            <w:pPr>
              <w:pStyle w:val="Header"/>
              <w:jc w:val="both"/>
            </w:pPr>
          </w:p>
          <w:p w14:paraId="65DFA117" w14:textId="65DA87CA" w:rsidR="008423E4" w:rsidRDefault="00005E20" w:rsidP="00AA39B2">
            <w:pPr>
              <w:pStyle w:val="Header"/>
              <w:jc w:val="both"/>
            </w:pPr>
            <w:r>
              <w:t xml:space="preserve">Texas has the largest state military force in the </w:t>
            </w:r>
            <w:r w:rsidR="00AC3B33">
              <w:t xml:space="preserve">nation, </w:t>
            </w:r>
            <w:r>
              <w:t xml:space="preserve">with </w:t>
            </w:r>
            <w:r w:rsidR="00AC3B33">
              <w:t>nearly</w:t>
            </w:r>
            <w:r>
              <w:t xml:space="preserve"> 24,000 members</w:t>
            </w:r>
            <w:r w:rsidR="00AC3B33">
              <w:t>.</w:t>
            </w:r>
            <w:r w:rsidR="00095028">
              <w:t xml:space="preserve"> </w:t>
            </w:r>
            <w:r w:rsidR="00AC3B33">
              <w:t>I</w:t>
            </w:r>
            <w:r w:rsidR="00095028">
              <w:t xml:space="preserve">t has been suggested that </w:t>
            </w:r>
            <w:r w:rsidR="00AC3B33">
              <w:t xml:space="preserve">the state could better protect </w:t>
            </w:r>
            <w:r w:rsidR="008344F6">
              <w:t xml:space="preserve">those </w:t>
            </w:r>
            <w:r w:rsidR="00512A6A">
              <w:t>members by</w:t>
            </w:r>
            <w:r w:rsidR="008344F6">
              <w:t xml:space="preserve"> </w:t>
            </w:r>
            <w:r>
              <w:t xml:space="preserve">increasing the resources available to victims of sexual assault. </w:t>
            </w:r>
            <w:r w:rsidR="00AC3B33">
              <w:t>There is currently no</w:t>
            </w:r>
            <w:r w:rsidR="002A5B87">
              <w:t xml:space="preserve"> sexual assault response coordinator or</w:t>
            </w:r>
            <w:r>
              <w:t xml:space="preserve"> independent criminal investigator for </w:t>
            </w:r>
            <w:r w:rsidR="002F7F81">
              <w:t xml:space="preserve">sexual assault </w:t>
            </w:r>
            <w:r>
              <w:t>cases</w:t>
            </w:r>
            <w:r w:rsidR="008344F6">
              <w:t xml:space="preserve"> </w:t>
            </w:r>
            <w:r w:rsidR="006E320A">
              <w:t xml:space="preserve">occurring </w:t>
            </w:r>
            <w:r w:rsidR="00AC3B33">
              <w:t xml:space="preserve">in the state military forces, </w:t>
            </w:r>
            <w:r w:rsidR="008344F6">
              <w:t xml:space="preserve">and </w:t>
            </w:r>
            <w:r>
              <w:t>victims</w:t>
            </w:r>
            <w:r w:rsidR="00AC3B33">
              <w:t xml:space="preserve"> who are members</w:t>
            </w:r>
            <w:r>
              <w:t xml:space="preserve"> lose the </w:t>
            </w:r>
            <w:r w:rsidR="006E320A">
              <w:t xml:space="preserve">benefit </w:t>
            </w:r>
            <w:r>
              <w:t xml:space="preserve">of </w:t>
            </w:r>
            <w:r w:rsidR="00F43C69">
              <w:t>a military protective order</w:t>
            </w:r>
            <w:r>
              <w:t xml:space="preserve"> when they are no longer</w:t>
            </w:r>
            <w:r w:rsidR="00F43C69">
              <w:t xml:space="preserve"> on</w:t>
            </w:r>
            <w:r>
              <w:t xml:space="preserve"> active duty or deployed.</w:t>
            </w:r>
            <w:r w:rsidR="00F43C69">
              <w:t xml:space="preserve"> </w:t>
            </w:r>
            <w:r>
              <w:t xml:space="preserve">S.B. 623 </w:t>
            </w:r>
            <w:r w:rsidR="00F43C69">
              <w:t xml:space="preserve">seeks to </w:t>
            </w:r>
            <w:r>
              <w:t>support</w:t>
            </w:r>
            <w:r w:rsidR="00F43C69">
              <w:t xml:space="preserve"> </w:t>
            </w:r>
            <w:r>
              <w:t xml:space="preserve">victims </w:t>
            </w:r>
            <w:r w:rsidR="006E320A">
              <w:t xml:space="preserve">within the Texas military forces </w:t>
            </w:r>
            <w:r w:rsidR="00F43C69">
              <w:t xml:space="preserve">by </w:t>
            </w:r>
            <w:r w:rsidR="00705A14">
              <w:t xml:space="preserve">establishing a sexual assault response coordinator outside the chain of command to receive reports of applicable offenses and provide victim advocacy services and by </w:t>
            </w:r>
            <w:r w:rsidR="002F7F81">
              <w:t>providing for</w:t>
            </w:r>
            <w:r>
              <w:t xml:space="preserve"> the </w:t>
            </w:r>
            <w:r w:rsidR="00705A14">
              <w:t xml:space="preserve">independent </w:t>
            </w:r>
            <w:r>
              <w:t xml:space="preserve">investigation of </w:t>
            </w:r>
            <w:r w:rsidR="00705A14">
              <w:t>those</w:t>
            </w:r>
            <w:r w:rsidR="00F43C69">
              <w:t xml:space="preserve"> </w:t>
            </w:r>
            <w:r>
              <w:t>offenses</w:t>
            </w:r>
            <w:r w:rsidR="00705A14">
              <w:t xml:space="preserve"> and for </w:t>
            </w:r>
            <w:r w:rsidR="00AC3B33">
              <w:t xml:space="preserve">the issuance of </w:t>
            </w:r>
            <w:r w:rsidR="00705A14">
              <w:t>appropriate</w:t>
            </w:r>
            <w:r>
              <w:t xml:space="preserve"> protective orders.</w:t>
            </w:r>
          </w:p>
          <w:p w14:paraId="4F33EC09" w14:textId="223E2B91" w:rsidR="008423E4" w:rsidRPr="00E26B13" w:rsidRDefault="008423E4" w:rsidP="00AA39B2">
            <w:pPr>
              <w:rPr>
                <w:b/>
              </w:rPr>
            </w:pPr>
          </w:p>
        </w:tc>
      </w:tr>
      <w:tr w:rsidR="009270BA" w14:paraId="6B056173" w14:textId="77777777" w:rsidTr="00345119">
        <w:tc>
          <w:tcPr>
            <w:tcW w:w="9576" w:type="dxa"/>
          </w:tcPr>
          <w:p w14:paraId="253BC64B" w14:textId="77777777" w:rsidR="0017725B" w:rsidRDefault="00005E20" w:rsidP="00AA39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14:paraId="0132E7DE" w14:textId="77777777" w:rsidR="0017725B" w:rsidRDefault="0017725B" w:rsidP="00AA39B2">
            <w:pPr>
              <w:rPr>
                <w:b/>
                <w:u w:val="single"/>
              </w:rPr>
            </w:pPr>
          </w:p>
          <w:p w14:paraId="1A7AEE28" w14:textId="44DDBE84" w:rsidR="00BA5971" w:rsidRPr="00BA5971" w:rsidRDefault="00005E20" w:rsidP="00AA39B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14:paraId="2BC977CB" w14:textId="77777777" w:rsidR="0017725B" w:rsidRPr="0017725B" w:rsidRDefault="0017725B" w:rsidP="00AA39B2">
            <w:pPr>
              <w:rPr>
                <w:b/>
                <w:u w:val="single"/>
              </w:rPr>
            </w:pPr>
          </w:p>
        </w:tc>
      </w:tr>
      <w:tr w:rsidR="009270BA" w14:paraId="3ACF088D" w14:textId="77777777" w:rsidTr="00345119">
        <w:tc>
          <w:tcPr>
            <w:tcW w:w="9576" w:type="dxa"/>
          </w:tcPr>
          <w:p w14:paraId="487871E6" w14:textId="77777777" w:rsidR="008423E4" w:rsidRPr="00A8133F" w:rsidRDefault="00005E20" w:rsidP="00AA39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FB66330" w14:textId="77777777" w:rsidR="008423E4" w:rsidRDefault="008423E4" w:rsidP="00AA39B2"/>
          <w:p w14:paraId="03BFC325" w14:textId="13135753" w:rsidR="00BA5971" w:rsidRDefault="00005E20" w:rsidP="00AA39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7AAB42E" w14:textId="77777777" w:rsidR="008423E4" w:rsidRPr="00E21FDC" w:rsidRDefault="008423E4" w:rsidP="00AA39B2">
            <w:pPr>
              <w:rPr>
                <w:b/>
              </w:rPr>
            </w:pPr>
          </w:p>
        </w:tc>
      </w:tr>
      <w:tr w:rsidR="009270BA" w14:paraId="1E89CC2F" w14:textId="77777777" w:rsidTr="00345119">
        <w:tc>
          <w:tcPr>
            <w:tcW w:w="9576" w:type="dxa"/>
          </w:tcPr>
          <w:p w14:paraId="3387D9C6" w14:textId="77777777" w:rsidR="008423E4" w:rsidRPr="00A8133F" w:rsidRDefault="00005E20" w:rsidP="00AA39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DBA3E84" w14:textId="77777777" w:rsidR="008423E4" w:rsidRDefault="008423E4" w:rsidP="00AA39B2"/>
          <w:p w14:paraId="42068E62" w14:textId="2D78C5AE" w:rsidR="006E238B" w:rsidRDefault="00005E20" w:rsidP="00AA39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623</w:t>
            </w:r>
            <w:r w:rsidR="007A3BC3">
              <w:t xml:space="preserve"> amends the </w:t>
            </w:r>
            <w:r w:rsidR="007A3BC3" w:rsidRPr="007A3BC3">
              <w:t>Government Code</w:t>
            </w:r>
            <w:r w:rsidR="008E6899">
              <w:t xml:space="preserve"> to require</w:t>
            </w:r>
            <w:r w:rsidR="00797279">
              <w:t xml:space="preserve"> the </w:t>
            </w:r>
            <w:r w:rsidR="00797279" w:rsidRPr="00797279">
              <w:t>Texas Military Department</w:t>
            </w:r>
            <w:r w:rsidR="00AD1317">
              <w:t>, to</w:t>
            </w:r>
            <w:r w:rsidR="00AD1317" w:rsidRPr="00797279">
              <w:t xml:space="preserve"> the extent state funds are available</w:t>
            </w:r>
            <w:r w:rsidR="006246DA">
              <w:t xml:space="preserve"> for the purpose</w:t>
            </w:r>
            <w:r w:rsidR="00AD1317">
              <w:t>,</w:t>
            </w:r>
            <w:r w:rsidR="00797279">
              <w:t xml:space="preserve"> to</w:t>
            </w:r>
            <w:r w:rsidR="00797279" w:rsidRPr="00797279">
              <w:t xml:space="preserve"> establish a state sexual offense prevention and response program and </w:t>
            </w:r>
            <w:r w:rsidR="00693C34">
              <w:t xml:space="preserve">to </w:t>
            </w:r>
            <w:r w:rsidR="00797279" w:rsidRPr="00797279">
              <w:t>employ or designate a state sexual offense response coordinator to perform victim advocacy services.</w:t>
            </w:r>
            <w:r w:rsidR="003C3F32">
              <w:t xml:space="preserve"> The bill </w:t>
            </w:r>
            <w:r w:rsidR="008E6899">
              <w:t>subjects a</w:t>
            </w:r>
            <w:r w:rsidR="008E6899" w:rsidRPr="007A3BC3">
              <w:t xml:space="preserve"> person </w:t>
            </w:r>
            <w:r w:rsidR="00F005A2">
              <w:t xml:space="preserve">who is </w:t>
            </w:r>
            <w:r w:rsidR="008E6899" w:rsidRPr="007A3BC3">
              <w:t xml:space="preserve">subject to </w:t>
            </w:r>
            <w:r w:rsidR="008E6899">
              <w:t xml:space="preserve">the </w:t>
            </w:r>
            <w:r w:rsidR="008E6899" w:rsidRPr="00C97867">
              <w:t>Texas Code of Military Justice</w:t>
            </w:r>
            <w:r w:rsidR="008E6899" w:rsidRPr="007A3BC3">
              <w:t xml:space="preserve"> </w:t>
            </w:r>
            <w:r w:rsidR="00F005A2">
              <w:t>and</w:t>
            </w:r>
            <w:r w:rsidR="00F005A2" w:rsidRPr="007A3BC3">
              <w:t xml:space="preserve"> </w:t>
            </w:r>
            <w:r w:rsidR="008E6899" w:rsidRPr="007A3BC3">
              <w:t>commits an offense</w:t>
            </w:r>
            <w:r w:rsidR="008E6899">
              <w:t xml:space="preserve"> of sexual assault, indecent assault, </w:t>
            </w:r>
            <w:r w:rsidR="008E6899" w:rsidRPr="007A3BC3">
              <w:t xml:space="preserve">or </w:t>
            </w:r>
            <w:r w:rsidR="008E6899">
              <w:t xml:space="preserve">aggravated sexual assault to investigation under the bill's </w:t>
            </w:r>
            <w:r w:rsidR="00F005A2">
              <w:t xml:space="preserve">related </w:t>
            </w:r>
            <w:r w:rsidR="008E6899">
              <w:t xml:space="preserve">provisions and </w:t>
            </w:r>
            <w:r w:rsidR="007F70F5">
              <w:t xml:space="preserve">to </w:t>
            </w:r>
            <w:r w:rsidR="008E6899">
              <w:t>punishment under that code</w:t>
            </w:r>
            <w:r w:rsidR="008E6899" w:rsidRPr="007A3BC3">
              <w:t>.</w:t>
            </w:r>
            <w:r w:rsidR="003C3F32">
              <w:t xml:space="preserve"> The bill requires the coordinator to </w:t>
            </w:r>
            <w:r>
              <w:t>do the following:</w:t>
            </w:r>
          </w:p>
          <w:p w14:paraId="2E18F9EC" w14:textId="5E768E7B" w:rsidR="006E238B" w:rsidRDefault="00005E20" w:rsidP="00AA39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accept reports for </w:t>
            </w:r>
            <w:r w:rsidR="00F005A2">
              <w:t xml:space="preserve">applicable </w:t>
            </w:r>
            <w:r>
              <w:t>alleged offenses made by a member of the Texas military forces against an accused person who is</w:t>
            </w:r>
            <w:r w:rsidR="004A4C9D">
              <w:t xml:space="preserve"> </w:t>
            </w:r>
            <w:r>
              <w:t>a</w:t>
            </w:r>
            <w:r w:rsidR="00F005A2">
              <w:t>lso a</w:t>
            </w:r>
            <w:r w:rsidR="006272D3">
              <w:t xml:space="preserve"> member of the</w:t>
            </w:r>
            <w:r>
              <w:t xml:space="preserve"> </w:t>
            </w:r>
            <w:r w:rsidR="00B65753">
              <w:t>Texas military forces;</w:t>
            </w:r>
            <w:r>
              <w:t xml:space="preserve"> and</w:t>
            </w:r>
          </w:p>
          <w:p w14:paraId="699437A5" w14:textId="1CFCA70F" w:rsidR="003C3F32" w:rsidRDefault="00005E20" w:rsidP="00AA39B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notify each victim of the reported assault of </w:t>
            </w:r>
            <w:r w:rsidR="00DA7680">
              <w:t xml:space="preserve">the person's </w:t>
            </w:r>
            <w:r>
              <w:t xml:space="preserve">eligibility for compensation under </w:t>
            </w:r>
            <w:r w:rsidRPr="006E238B">
              <w:t>the Crime Victims' Compensation Act</w:t>
            </w:r>
            <w:r>
              <w:t>.</w:t>
            </w:r>
          </w:p>
          <w:p w14:paraId="28D02B6E" w14:textId="742C1E75" w:rsidR="003C3F32" w:rsidRDefault="003C3F32" w:rsidP="00AA39B2">
            <w:pPr>
              <w:pStyle w:val="Header"/>
              <w:jc w:val="both"/>
            </w:pPr>
          </w:p>
          <w:p w14:paraId="3DA03CA5" w14:textId="1FA6F947" w:rsidR="00D13510" w:rsidRDefault="00005E20" w:rsidP="00AA39B2">
            <w:pPr>
              <w:pStyle w:val="Header"/>
              <w:jc w:val="both"/>
            </w:pPr>
            <w:r>
              <w:t>S.B. 623</w:t>
            </w:r>
            <w:r w:rsidR="006E238B">
              <w:t xml:space="preserve"> establishes that the program and coordinator are within the department but </w:t>
            </w:r>
            <w:r>
              <w:t>are required to</w:t>
            </w:r>
            <w:r w:rsidR="006E238B">
              <w:t xml:space="preserve"> exercise the authority granted under </w:t>
            </w:r>
            <w:r>
              <w:t>the bill's provisions</w:t>
            </w:r>
            <w:r w:rsidR="006E238B">
              <w:t xml:space="preserve"> independently from the chain of command within the department.</w:t>
            </w:r>
            <w:r>
              <w:t xml:space="preserve"> </w:t>
            </w:r>
            <w:r w:rsidR="006E238B">
              <w:t>The coordinator must allow a member of the Texas military forces who is the victim of an alleged offense</w:t>
            </w:r>
            <w:r>
              <w:t xml:space="preserve"> of sexual assault, indecent assault, </w:t>
            </w:r>
            <w:r w:rsidRPr="007A3BC3">
              <w:t xml:space="preserve">or </w:t>
            </w:r>
            <w:r>
              <w:t>a</w:t>
            </w:r>
            <w:r>
              <w:t>ggravated sexual assault to do the following:</w:t>
            </w:r>
          </w:p>
          <w:p w14:paraId="78B65CA8" w14:textId="0515F882" w:rsidR="00D13510" w:rsidRDefault="00005E20" w:rsidP="00AA39B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file with the coordinator a restricted or unrestricted report</w:t>
            </w:r>
            <w:r w:rsidR="00995BDC">
              <w:t>,</w:t>
            </w:r>
            <w:r>
              <w:t xml:space="preserve"> </w:t>
            </w:r>
            <w:r w:rsidR="00CC623A">
              <w:t xml:space="preserve">as those reports are defined by the bill, </w:t>
            </w:r>
            <w:r>
              <w:t>or file a restricted report and later convert that report to an unrestricted report;</w:t>
            </w:r>
          </w:p>
          <w:p w14:paraId="093CFAE3" w14:textId="2492A974" w:rsidR="00D13510" w:rsidRDefault="00005E20" w:rsidP="00AA39B2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participate in the U</w:t>
            </w:r>
            <w:r>
              <w:t>.S. Department of Defense Catch a Serial Offender program; and</w:t>
            </w:r>
          </w:p>
          <w:p w14:paraId="5B996BDC" w14:textId="5308069B" w:rsidR="003C3F32" w:rsidRDefault="00005E20" w:rsidP="00AA39B2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receive notice when the coordinator is made aware that the accused person has been subsequently accused of an </w:t>
            </w:r>
            <w:r w:rsidR="00995BDC">
              <w:t xml:space="preserve">applicable </w:t>
            </w:r>
            <w:r>
              <w:t>offense by a service member or any other person.</w:t>
            </w:r>
          </w:p>
          <w:p w14:paraId="5D0F5FDD" w14:textId="77777777" w:rsidR="003B6E7B" w:rsidRDefault="003B6E7B" w:rsidP="00AA39B2">
            <w:pPr>
              <w:pStyle w:val="Header"/>
              <w:jc w:val="both"/>
            </w:pPr>
          </w:p>
          <w:p w14:paraId="1AFA54ED" w14:textId="6A8C9C5D" w:rsidR="00404AE2" w:rsidRDefault="00005E20" w:rsidP="00AA39B2">
            <w:pPr>
              <w:pStyle w:val="Header"/>
              <w:jc w:val="both"/>
            </w:pPr>
            <w:r>
              <w:t xml:space="preserve">S.B. 623 requires the </w:t>
            </w:r>
            <w:r>
              <w:t>coordinator</w:t>
            </w:r>
            <w:r w:rsidR="00DD3CFA">
              <w:t>,</w:t>
            </w:r>
            <w:r>
              <w:t xml:space="preserve"> </w:t>
            </w:r>
            <w:r w:rsidR="00DD3CFA">
              <w:t>on</w:t>
            </w:r>
            <w:r w:rsidR="00F14B76">
              <w:t xml:space="preserve"> </w:t>
            </w:r>
            <w:r w:rsidR="008C5233">
              <w:t xml:space="preserve">the filing of an unrestricted report alleging an offense </w:t>
            </w:r>
            <w:r w:rsidR="00F14B76">
              <w:t xml:space="preserve">of sexual assault </w:t>
            </w:r>
            <w:r w:rsidR="008C5233">
              <w:t xml:space="preserve">or </w:t>
            </w:r>
            <w:r w:rsidR="00F14B76">
              <w:t>aggravated sexual assault</w:t>
            </w:r>
            <w:r w:rsidR="00DD3CFA">
              <w:t>,</w:t>
            </w:r>
            <w:r w:rsidR="003156A2">
              <w:t xml:space="preserve"> to </w:t>
            </w:r>
            <w:r w:rsidR="008C5233">
              <w:t xml:space="preserve">refer </w:t>
            </w:r>
            <w:r w:rsidR="000C7D83">
              <w:t>that</w:t>
            </w:r>
            <w:r w:rsidR="008C5233">
              <w:t xml:space="preserve"> report to the Texas Rangers division of the Department of Public Safety</w:t>
            </w:r>
            <w:r w:rsidR="003156A2">
              <w:t xml:space="preserve"> </w:t>
            </w:r>
            <w:r w:rsidR="008C5233">
              <w:t>for investigation</w:t>
            </w:r>
            <w:r w:rsidR="000C7D83">
              <w:t xml:space="preserve">. The bill </w:t>
            </w:r>
            <w:r w:rsidR="003B6E7B" w:rsidRPr="000C7D83">
              <w:t>authorizes</w:t>
            </w:r>
            <w:r w:rsidR="003B6E7B">
              <w:t xml:space="preserve"> the coordinator to</w:t>
            </w:r>
            <w:r w:rsidR="008C5233">
              <w:t xml:space="preserve"> refer the report to the appropriate local law enforcement agency for the initial collection of evidence.</w:t>
            </w:r>
            <w:r w:rsidR="003156A2">
              <w:t xml:space="preserve"> The bill requires a</w:t>
            </w:r>
            <w:r w:rsidR="008C5233">
              <w:t xml:space="preserve"> local law enforcement agency that initially collects evidence for </w:t>
            </w:r>
            <w:r w:rsidR="003156A2">
              <w:t>the</w:t>
            </w:r>
            <w:r w:rsidR="008C5233">
              <w:t xml:space="preserve"> report </w:t>
            </w:r>
            <w:r w:rsidR="003156A2">
              <w:t>to</w:t>
            </w:r>
            <w:r w:rsidR="008C5233">
              <w:t xml:space="preserve"> transfer all relevant evidence and information to the Texas Rangers division on request of th</w:t>
            </w:r>
            <w:r w:rsidR="00DD3CFA">
              <w:t>at</w:t>
            </w:r>
            <w:r w:rsidR="008C5233">
              <w:t xml:space="preserve"> division.</w:t>
            </w:r>
            <w:r w:rsidR="00DB428E">
              <w:t xml:space="preserve"> </w:t>
            </w:r>
            <w:r w:rsidR="000C7D83">
              <w:t>The bill</w:t>
            </w:r>
            <w:r>
              <w:t xml:space="preserve"> requires the coordinator, on</w:t>
            </w:r>
            <w:r w:rsidR="00DB428E">
              <w:t xml:space="preserve"> the filing of an </w:t>
            </w:r>
            <w:r w:rsidR="008C5233">
              <w:t>unrestricted report alleging an offense</w:t>
            </w:r>
            <w:r w:rsidR="00DB428E">
              <w:t xml:space="preserve"> of indecent assault</w:t>
            </w:r>
            <w:r>
              <w:t>,</w:t>
            </w:r>
            <w:r w:rsidR="008C5233">
              <w:t xml:space="preserve"> </w:t>
            </w:r>
            <w:r w:rsidR="00DB428E">
              <w:t>to</w:t>
            </w:r>
            <w:r w:rsidR="008C5233">
              <w:t xml:space="preserve"> refer </w:t>
            </w:r>
            <w:r w:rsidR="000C7D83">
              <w:t>that</w:t>
            </w:r>
            <w:r w:rsidR="008C5233">
              <w:t xml:space="preserve"> report to the appropriate local law enforcement agency for investigation.</w:t>
            </w:r>
            <w:r w:rsidR="00DB428E">
              <w:t xml:space="preserve"> </w:t>
            </w:r>
          </w:p>
          <w:p w14:paraId="6C3EA91A" w14:textId="77777777" w:rsidR="00404AE2" w:rsidRDefault="00404AE2" w:rsidP="00AA39B2">
            <w:pPr>
              <w:pStyle w:val="Header"/>
              <w:jc w:val="both"/>
            </w:pPr>
          </w:p>
          <w:p w14:paraId="2F38652C" w14:textId="10296E4A" w:rsidR="00F14B76" w:rsidRDefault="00005E20" w:rsidP="00AA39B2">
            <w:pPr>
              <w:pStyle w:val="Header"/>
              <w:jc w:val="both"/>
            </w:pPr>
            <w:r>
              <w:t>S.B. 623</w:t>
            </w:r>
            <w:r w:rsidR="00DB428E">
              <w:t xml:space="preserve"> requires the</w:t>
            </w:r>
            <w:r w:rsidR="000C7D83">
              <w:t xml:space="preserve"> Texas Rangers</w:t>
            </w:r>
            <w:r w:rsidR="008C5233">
              <w:t xml:space="preserve"> </w:t>
            </w:r>
            <w:r w:rsidR="008C5233" w:rsidRPr="00F4661D">
              <w:t>division</w:t>
            </w:r>
            <w:r w:rsidR="008C5233">
              <w:t xml:space="preserve"> </w:t>
            </w:r>
            <w:r w:rsidR="00DB428E">
              <w:t>to assign a</w:t>
            </w:r>
            <w:r w:rsidR="00F4661D">
              <w:t>n</w:t>
            </w:r>
            <w:r w:rsidR="00DB428E">
              <w:t xml:space="preserve"> </w:t>
            </w:r>
            <w:r w:rsidR="008C5233">
              <w:t>officer to investigate reports referred to the division</w:t>
            </w:r>
            <w:r w:rsidR="00DB428E">
              <w:t xml:space="preserve"> and</w:t>
            </w:r>
            <w:r>
              <w:t>,</w:t>
            </w:r>
            <w:r w:rsidR="00DB428E">
              <w:t xml:space="preserve"> i</w:t>
            </w:r>
            <w:r w:rsidR="008C5233">
              <w:t xml:space="preserve">f the investigation demonstrates probable cause that an offense </w:t>
            </w:r>
            <w:r w:rsidR="00DB428E">
              <w:t>of sexual assault or aggravated sexual assault</w:t>
            </w:r>
            <w:r w:rsidR="008C5233">
              <w:t xml:space="preserve"> was committed by a person subject to </w:t>
            </w:r>
            <w:r w:rsidR="00DB428E">
              <w:t xml:space="preserve">the </w:t>
            </w:r>
            <w:r w:rsidR="00DB428E" w:rsidRPr="00C97867">
              <w:t>Texas Code of Military Justice</w:t>
            </w:r>
            <w:r w:rsidR="00DB428E">
              <w:t>,</w:t>
            </w:r>
            <w:r w:rsidR="008C5233">
              <w:t xml:space="preserve"> </w:t>
            </w:r>
            <w:r>
              <w:t xml:space="preserve">requires </w:t>
            </w:r>
            <w:r w:rsidR="008C5233">
              <w:t xml:space="preserve">the investigator </w:t>
            </w:r>
            <w:r>
              <w:t xml:space="preserve">to </w:t>
            </w:r>
            <w:r w:rsidR="008C5233">
              <w:t>refer the matter to the appropriate local district attorney, criminal district attorney, or county attorney with criminal jurisdiction.</w:t>
            </w:r>
            <w:r w:rsidR="004359C8">
              <w:t xml:space="preserve"> The bill authorizes the coordinator, </w:t>
            </w:r>
            <w:r>
              <w:t xml:space="preserve">with the consent of the victim of </w:t>
            </w:r>
            <w:r w:rsidR="004359C8" w:rsidRPr="004359C8">
              <w:t>an offense of sexual assault or aggravated sexual assault</w:t>
            </w:r>
            <w:r>
              <w:t xml:space="preserve"> alleged to have been committed by a person subject to th</w:t>
            </w:r>
            <w:r w:rsidR="006246DA">
              <w:t>at</w:t>
            </w:r>
            <w:r>
              <w:t xml:space="preserve"> </w:t>
            </w:r>
            <w:r w:rsidR="004359C8" w:rsidRPr="00F4661D">
              <w:t>code</w:t>
            </w:r>
            <w:r w:rsidR="004359C8">
              <w:t>,</w:t>
            </w:r>
            <w:r>
              <w:t xml:space="preserve"> to file </w:t>
            </w:r>
            <w:r w:rsidR="000446F4">
              <w:t xml:space="preserve">on behalf of the victim </w:t>
            </w:r>
            <w:r>
              <w:t>an application f</w:t>
            </w:r>
            <w:r>
              <w:t>or a protective order</w:t>
            </w:r>
            <w:r w:rsidR="000446F4">
              <w:t>,</w:t>
            </w:r>
            <w:r>
              <w:t xml:space="preserve"> as provided by law</w:t>
            </w:r>
            <w:r w:rsidR="004359C8" w:rsidRPr="004359C8">
              <w:t xml:space="preserve"> for victims of sexual assault or abuse, stalking, or trafficking</w:t>
            </w:r>
            <w:r>
              <w:t>.</w:t>
            </w:r>
          </w:p>
          <w:p w14:paraId="218E120B" w14:textId="77777777" w:rsidR="00F14B76" w:rsidRDefault="00F14B76" w:rsidP="00AA39B2">
            <w:pPr>
              <w:pStyle w:val="Header"/>
              <w:jc w:val="both"/>
            </w:pPr>
          </w:p>
          <w:p w14:paraId="11736BDF" w14:textId="658A95B5" w:rsidR="00636B59" w:rsidRDefault="00005E20" w:rsidP="00AA39B2">
            <w:pPr>
              <w:pStyle w:val="Header"/>
              <w:jc w:val="both"/>
            </w:pPr>
            <w:r>
              <w:t>S.B. 623</w:t>
            </w:r>
            <w:r w:rsidR="003B6E7B">
              <w:t xml:space="preserve"> requires t</w:t>
            </w:r>
            <w:r w:rsidR="00F14B76">
              <w:t>he adj</w:t>
            </w:r>
            <w:r w:rsidR="003B6E7B">
              <w:t xml:space="preserve">utant general or coordinator </w:t>
            </w:r>
            <w:r w:rsidR="000446F4">
              <w:t xml:space="preserve">annually </w:t>
            </w:r>
            <w:r w:rsidR="003B6E7B">
              <w:t>to</w:t>
            </w:r>
            <w:r w:rsidR="00F14B76">
              <w:t xml:space="preserve"> submit a report </w:t>
            </w:r>
            <w:r w:rsidR="003B6E7B">
              <w:t xml:space="preserve">to the governor, the lieutenant governor, </w:t>
            </w:r>
            <w:r w:rsidR="00F14B76">
              <w:t>the speaker of the house of representatives</w:t>
            </w:r>
            <w:r w:rsidR="003B6E7B">
              <w:t>,</w:t>
            </w:r>
            <w:r w:rsidR="00F14B76">
              <w:t xml:space="preserve"> and</w:t>
            </w:r>
            <w:r w:rsidR="003B6E7B">
              <w:t xml:space="preserve"> t</w:t>
            </w:r>
            <w:r w:rsidR="00F14B76">
              <w:t xml:space="preserve">he chairs of the </w:t>
            </w:r>
            <w:r w:rsidR="00A6763C">
              <w:t xml:space="preserve">appropriate legislative </w:t>
            </w:r>
            <w:r w:rsidR="00F14B76">
              <w:t>standing committees</w:t>
            </w:r>
            <w:r w:rsidR="00A6763C">
              <w:t xml:space="preserve"> on the activities under the program and the department's activities relating to sexual offense prevention and response</w:t>
            </w:r>
            <w:r w:rsidR="00F14B76">
              <w:t>.</w:t>
            </w:r>
            <w:r w:rsidR="003B6E7B">
              <w:t xml:space="preserve"> The bill sets out the required contents of the report</w:t>
            </w:r>
            <w:r w:rsidR="00A6763C">
              <w:t xml:space="preserve"> with respect to the preceding state fiscal year, including </w:t>
            </w:r>
            <w:r>
              <w:t>requirements regarding the following:</w:t>
            </w:r>
          </w:p>
          <w:p w14:paraId="02448648" w14:textId="77777777" w:rsidR="00636B59" w:rsidRDefault="00005E20" w:rsidP="00AA39B2">
            <w:pPr>
              <w:pStyle w:val="Header"/>
              <w:numPr>
                <w:ilvl w:val="0"/>
                <w:numId w:val="3"/>
              </w:numPr>
              <w:jc w:val="both"/>
            </w:pPr>
            <w:r w:rsidRPr="00A6763C">
              <w:t>an analysis of the number of incidents of sexual assault and indecent assault involving members of the T</w:t>
            </w:r>
            <w:r w:rsidRPr="00A6763C">
              <w:t>exas military forces</w:t>
            </w:r>
            <w:r>
              <w:t xml:space="preserve">; and </w:t>
            </w:r>
          </w:p>
          <w:p w14:paraId="03A2B585" w14:textId="0494D470" w:rsidR="008C5233" w:rsidRDefault="00005E20" w:rsidP="00AA39B2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provisions relating to the use and reporting of certain </w:t>
            </w:r>
            <w:r w:rsidR="00DB3848" w:rsidRPr="00DB3848">
              <w:t xml:space="preserve">aggregated statistical data </w:t>
            </w:r>
            <w:r>
              <w:t>and the protection of</w:t>
            </w:r>
            <w:r w:rsidR="00DB3848" w:rsidRPr="00DB3848">
              <w:t xml:space="preserve"> victim privacy </w:t>
            </w:r>
            <w:r>
              <w:t>in using restricted case data</w:t>
            </w:r>
            <w:r w:rsidR="001C4C11">
              <w:t xml:space="preserve"> for the report's purposes</w:t>
            </w:r>
            <w:r w:rsidR="00DB3848">
              <w:t>.</w:t>
            </w:r>
          </w:p>
          <w:p w14:paraId="42C7C8C9" w14:textId="24C169C2" w:rsidR="00DB3848" w:rsidRDefault="00DB3848" w:rsidP="00AA39B2">
            <w:pPr>
              <w:pStyle w:val="Header"/>
              <w:jc w:val="both"/>
            </w:pPr>
          </w:p>
          <w:p w14:paraId="3099C03C" w14:textId="7651F7FA" w:rsidR="008D1372" w:rsidRDefault="00005E20" w:rsidP="00AA39B2">
            <w:pPr>
              <w:pStyle w:val="Header"/>
              <w:jc w:val="both"/>
            </w:pPr>
            <w:r>
              <w:t>S.B. 623</w:t>
            </w:r>
            <w:r w:rsidR="00DB3848">
              <w:t xml:space="preserve"> amend</w:t>
            </w:r>
            <w:r w:rsidR="00006E8D">
              <w:t>s</w:t>
            </w:r>
            <w:r w:rsidR="00A551C4">
              <w:t xml:space="preserve"> the </w:t>
            </w:r>
            <w:r w:rsidR="00A551C4" w:rsidRPr="00A551C4">
              <w:t>Code of Criminal Procedure</w:t>
            </w:r>
            <w:r w:rsidR="00A551C4">
              <w:t xml:space="preserve"> to </w:t>
            </w:r>
            <w:r w:rsidR="009C3C1B">
              <w:t xml:space="preserve">establish that, for purposes of </w:t>
            </w:r>
            <w:r w:rsidR="00D86B78">
              <w:t>establishing grounds for</w:t>
            </w:r>
            <w:r w:rsidR="009C3C1B">
              <w:t xml:space="preserve"> a </w:t>
            </w:r>
            <w:r w:rsidR="009C3C1B" w:rsidRPr="009C3C1B">
              <w:t xml:space="preserve">temporary ex parte </w:t>
            </w:r>
            <w:r w:rsidR="00D86B78">
              <w:t xml:space="preserve">protective </w:t>
            </w:r>
            <w:r w:rsidR="009C3C1B" w:rsidRPr="009C3C1B">
              <w:t xml:space="preserve">order, a military protective order issued to a person because the person was a reported victim of an offense </w:t>
            </w:r>
            <w:r w:rsidR="00D86B78">
              <w:t xml:space="preserve">of </w:t>
            </w:r>
            <w:r w:rsidR="009C3C1B">
              <w:t xml:space="preserve">sexual assault, indecent assault, </w:t>
            </w:r>
            <w:r w:rsidR="009C3C1B" w:rsidRPr="007A3BC3">
              <w:t xml:space="preserve">or </w:t>
            </w:r>
            <w:r w:rsidR="009C3C1B">
              <w:t>aggravated sexual assault</w:t>
            </w:r>
            <w:r w:rsidR="009C3C1B" w:rsidRPr="009C3C1B">
              <w:t xml:space="preserve"> constitutes sufficient information for a court to find there is a clear and present danger of sexual assault or abuse or other harm to the applicant.</w:t>
            </w:r>
          </w:p>
          <w:p w14:paraId="45113CC6" w14:textId="00046574" w:rsidR="008D1372" w:rsidRDefault="008D1372" w:rsidP="00AA39B2">
            <w:pPr>
              <w:pStyle w:val="Header"/>
              <w:jc w:val="both"/>
            </w:pPr>
          </w:p>
          <w:p w14:paraId="43B4B1DD" w14:textId="22C89E17" w:rsidR="008D1372" w:rsidRPr="009C36CD" w:rsidRDefault="00005E20" w:rsidP="00AA39B2">
            <w:pPr>
              <w:pStyle w:val="Header"/>
              <w:jc w:val="both"/>
            </w:pPr>
            <w:r>
              <w:t>S.B. 623</w:t>
            </w:r>
            <w:r w:rsidR="00BA5971">
              <w:t xml:space="preserve"> </w:t>
            </w:r>
            <w:r w:rsidR="00D86B78">
              <w:t xml:space="preserve">makes a requirement for </w:t>
            </w:r>
            <w:r w:rsidR="00BA5971">
              <w:t>the</w:t>
            </w:r>
            <w:r w:rsidR="00BA5971" w:rsidRPr="00BA5971">
              <w:t xml:space="preserve"> Texas Military Department to implement </w:t>
            </w:r>
            <w:r w:rsidR="00D86B78">
              <w:t xml:space="preserve">a provision of </w:t>
            </w:r>
            <w:r w:rsidR="00BA5971">
              <w:t xml:space="preserve">the bill </w:t>
            </w:r>
            <w:r w:rsidR="00D86B78">
              <w:t>contingent on a specific</w:t>
            </w:r>
            <w:r w:rsidR="00BA5971" w:rsidRPr="00BA5971">
              <w:t xml:space="preserve"> legislat</w:t>
            </w:r>
            <w:r w:rsidR="00D86B78">
              <w:t>iv</w:t>
            </w:r>
            <w:r w:rsidR="00BA5971" w:rsidRPr="00BA5971">
              <w:t>e appropriat</w:t>
            </w:r>
            <w:r w:rsidR="00D86B78">
              <w:t>ion</w:t>
            </w:r>
            <w:r w:rsidR="00BA5971" w:rsidRPr="00BA5971">
              <w:t xml:space="preserve"> for that purpose.</w:t>
            </w:r>
          </w:p>
          <w:p w14:paraId="12BAACF4" w14:textId="77777777" w:rsidR="008423E4" w:rsidRPr="00835628" w:rsidRDefault="008423E4" w:rsidP="00AA39B2">
            <w:pPr>
              <w:rPr>
                <w:b/>
              </w:rPr>
            </w:pPr>
          </w:p>
        </w:tc>
      </w:tr>
      <w:tr w:rsidR="009270BA" w14:paraId="06ACECB8" w14:textId="77777777" w:rsidTr="00345119">
        <w:tc>
          <w:tcPr>
            <w:tcW w:w="9576" w:type="dxa"/>
          </w:tcPr>
          <w:p w14:paraId="276ADBC0" w14:textId="77777777" w:rsidR="008423E4" w:rsidRPr="00A8133F" w:rsidRDefault="00005E20" w:rsidP="00AA39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7D22D3" w14:textId="77777777" w:rsidR="008423E4" w:rsidRDefault="008423E4" w:rsidP="00AA39B2"/>
          <w:p w14:paraId="08FDAB9A" w14:textId="16642C83" w:rsidR="008423E4" w:rsidRPr="00AA39B2" w:rsidRDefault="00005E20" w:rsidP="00AA39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6F61F27C" w14:textId="1649B4AC" w:rsidR="004108C3" w:rsidRPr="008423E4" w:rsidRDefault="004108C3" w:rsidP="00AA39B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2400" w14:textId="77777777" w:rsidR="00000000" w:rsidRDefault="00005E20">
      <w:r>
        <w:separator/>
      </w:r>
    </w:p>
  </w:endnote>
  <w:endnote w:type="continuationSeparator" w:id="0">
    <w:p w14:paraId="052FB642" w14:textId="77777777" w:rsidR="00000000" w:rsidRDefault="0000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A6F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70BA" w14:paraId="5563C892" w14:textId="77777777" w:rsidTr="009C1E9A">
      <w:trPr>
        <w:cantSplit/>
      </w:trPr>
      <w:tc>
        <w:tcPr>
          <w:tcW w:w="0" w:type="pct"/>
        </w:tcPr>
        <w:p w14:paraId="4C1B193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A364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4D462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8848B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75B51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70BA" w14:paraId="01CD5880" w14:textId="77777777" w:rsidTr="009C1E9A">
      <w:trPr>
        <w:cantSplit/>
      </w:trPr>
      <w:tc>
        <w:tcPr>
          <w:tcW w:w="0" w:type="pct"/>
        </w:tcPr>
        <w:p w14:paraId="7012609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C107765" w14:textId="21AD7FEA" w:rsidR="00EC379B" w:rsidRPr="009C1E9A" w:rsidRDefault="00005E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23185</w:t>
          </w:r>
        </w:p>
      </w:tc>
      <w:tc>
        <w:tcPr>
          <w:tcW w:w="2453" w:type="pct"/>
        </w:tcPr>
        <w:p w14:paraId="6EC11EF4" w14:textId="2F5791E0" w:rsidR="00EC379B" w:rsidRDefault="00005E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244C7">
            <w:t>21.118.873</w:t>
          </w:r>
          <w:r>
            <w:fldChar w:fldCharType="end"/>
          </w:r>
        </w:p>
      </w:tc>
    </w:tr>
    <w:tr w:rsidR="009270BA" w14:paraId="4C946D09" w14:textId="77777777" w:rsidTr="009C1E9A">
      <w:trPr>
        <w:cantSplit/>
      </w:trPr>
      <w:tc>
        <w:tcPr>
          <w:tcW w:w="0" w:type="pct"/>
        </w:tcPr>
        <w:p w14:paraId="3DC8E2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EAC8E7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CE356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799D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70BA" w14:paraId="436ACC4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27D8D8" w14:textId="4708FFBB" w:rsidR="00EC379B" w:rsidRDefault="00005E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A39B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4B6C9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32B5A9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CE8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FB11" w14:textId="77777777" w:rsidR="00000000" w:rsidRDefault="00005E20">
      <w:r>
        <w:separator/>
      </w:r>
    </w:p>
  </w:footnote>
  <w:footnote w:type="continuationSeparator" w:id="0">
    <w:p w14:paraId="7B65E1C3" w14:textId="77777777" w:rsidR="00000000" w:rsidRDefault="0000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CE0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871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E91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355"/>
    <w:multiLevelType w:val="hybridMultilevel"/>
    <w:tmpl w:val="A9C8D90A"/>
    <w:lvl w:ilvl="0" w:tplc="D8D64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E1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8E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47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41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8D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08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8F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80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ACB"/>
    <w:multiLevelType w:val="hybridMultilevel"/>
    <w:tmpl w:val="7B8C0FE6"/>
    <w:lvl w:ilvl="0" w:tplc="1B701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A8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AB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0A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A4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A1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28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2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0A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D6E3B"/>
    <w:multiLevelType w:val="hybridMultilevel"/>
    <w:tmpl w:val="50788C56"/>
    <w:lvl w:ilvl="0" w:tplc="3BA8F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25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2D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C0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61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E2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B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C6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C7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C3"/>
    <w:rsid w:val="00000A70"/>
    <w:rsid w:val="000032B8"/>
    <w:rsid w:val="00003B06"/>
    <w:rsid w:val="000054B9"/>
    <w:rsid w:val="00005E20"/>
    <w:rsid w:val="00006E8D"/>
    <w:rsid w:val="00007461"/>
    <w:rsid w:val="0001117E"/>
    <w:rsid w:val="0001125F"/>
    <w:rsid w:val="0001338E"/>
    <w:rsid w:val="00013D24"/>
    <w:rsid w:val="00014AF0"/>
    <w:rsid w:val="000155D6"/>
    <w:rsid w:val="00015D4E"/>
    <w:rsid w:val="000170ED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7A8"/>
    <w:rsid w:val="00035DB0"/>
    <w:rsid w:val="00037088"/>
    <w:rsid w:val="000400D5"/>
    <w:rsid w:val="00043B84"/>
    <w:rsid w:val="000446F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028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D83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360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C11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580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2FE"/>
    <w:rsid w:val="00291518"/>
    <w:rsid w:val="00296FF0"/>
    <w:rsid w:val="002A17C0"/>
    <w:rsid w:val="002A48DF"/>
    <w:rsid w:val="002A5A84"/>
    <w:rsid w:val="002A5B87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2F7F81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6A2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4839"/>
    <w:rsid w:val="0038731D"/>
    <w:rsid w:val="00387B60"/>
    <w:rsid w:val="00390098"/>
    <w:rsid w:val="00391929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6E7B"/>
    <w:rsid w:val="003B7984"/>
    <w:rsid w:val="003B7AF6"/>
    <w:rsid w:val="003C0411"/>
    <w:rsid w:val="003C1871"/>
    <w:rsid w:val="003C1C55"/>
    <w:rsid w:val="003C25EA"/>
    <w:rsid w:val="003C36FD"/>
    <w:rsid w:val="003C3F32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4AE2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59C8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C9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7E7"/>
    <w:rsid w:val="00500121"/>
    <w:rsid w:val="005017AC"/>
    <w:rsid w:val="00501E8A"/>
    <w:rsid w:val="00505121"/>
    <w:rsid w:val="00505C04"/>
    <w:rsid w:val="00505F1B"/>
    <w:rsid w:val="005073E8"/>
    <w:rsid w:val="00510503"/>
    <w:rsid w:val="00512A6A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36E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DC9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6DA"/>
    <w:rsid w:val="006249CB"/>
    <w:rsid w:val="006272D3"/>
    <w:rsid w:val="006272DD"/>
    <w:rsid w:val="00630963"/>
    <w:rsid w:val="00631897"/>
    <w:rsid w:val="00632928"/>
    <w:rsid w:val="006330DA"/>
    <w:rsid w:val="00633262"/>
    <w:rsid w:val="00633460"/>
    <w:rsid w:val="00636B59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44E"/>
    <w:rsid w:val="00684B98"/>
    <w:rsid w:val="00685DC9"/>
    <w:rsid w:val="00687465"/>
    <w:rsid w:val="006907CF"/>
    <w:rsid w:val="00691CCF"/>
    <w:rsid w:val="00693AFA"/>
    <w:rsid w:val="00693C34"/>
    <w:rsid w:val="00695101"/>
    <w:rsid w:val="00695B9A"/>
    <w:rsid w:val="006964EE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38B"/>
    <w:rsid w:val="006E26C1"/>
    <w:rsid w:val="006E30A8"/>
    <w:rsid w:val="006E320A"/>
    <w:rsid w:val="006E45B0"/>
    <w:rsid w:val="006E5692"/>
    <w:rsid w:val="006F12C2"/>
    <w:rsid w:val="006F365D"/>
    <w:rsid w:val="006F4BB0"/>
    <w:rsid w:val="007031BD"/>
    <w:rsid w:val="00703E80"/>
    <w:rsid w:val="00705276"/>
    <w:rsid w:val="00705A14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279"/>
    <w:rsid w:val="0079792C"/>
    <w:rsid w:val="007A0989"/>
    <w:rsid w:val="007A331F"/>
    <w:rsid w:val="007A3844"/>
    <w:rsid w:val="007A3BC3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0F5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4F6"/>
    <w:rsid w:val="008347A9"/>
    <w:rsid w:val="00835628"/>
    <w:rsid w:val="00835E90"/>
    <w:rsid w:val="008408DE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96D"/>
    <w:rsid w:val="008B7785"/>
    <w:rsid w:val="008C0809"/>
    <w:rsid w:val="008C132C"/>
    <w:rsid w:val="008C3FD0"/>
    <w:rsid w:val="008C5233"/>
    <w:rsid w:val="008D1372"/>
    <w:rsid w:val="008D27A5"/>
    <w:rsid w:val="008D2AAB"/>
    <w:rsid w:val="008D309C"/>
    <w:rsid w:val="008D58F9"/>
    <w:rsid w:val="008E3338"/>
    <w:rsid w:val="008E47BE"/>
    <w:rsid w:val="008E689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0BA"/>
    <w:rsid w:val="00930897"/>
    <w:rsid w:val="009320D2"/>
    <w:rsid w:val="00932C77"/>
    <w:rsid w:val="0093417F"/>
    <w:rsid w:val="00934AC2"/>
    <w:rsid w:val="009364E0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5BDC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C1B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4C7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51C4"/>
    <w:rsid w:val="00A572B1"/>
    <w:rsid w:val="00A577AF"/>
    <w:rsid w:val="00A60177"/>
    <w:rsid w:val="00A61C27"/>
    <w:rsid w:val="00A6344D"/>
    <w:rsid w:val="00A644B8"/>
    <w:rsid w:val="00A6763C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34BF"/>
    <w:rsid w:val="00AA39B2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B33"/>
    <w:rsid w:val="00AC5AAB"/>
    <w:rsid w:val="00AC5AEC"/>
    <w:rsid w:val="00AC5F28"/>
    <w:rsid w:val="00AC6900"/>
    <w:rsid w:val="00AD1317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753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971"/>
    <w:rsid w:val="00BB007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867"/>
    <w:rsid w:val="00CA02B0"/>
    <w:rsid w:val="00CA032E"/>
    <w:rsid w:val="00CA2182"/>
    <w:rsid w:val="00CA2186"/>
    <w:rsid w:val="00CA26EF"/>
    <w:rsid w:val="00CA3608"/>
    <w:rsid w:val="00CA4CA0"/>
    <w:rsid w:val="00CA5506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23A"/>
    <w:rsid w:val="00CC7131"/>
    <w:rsid w:val="00CC7B9E"/>
    <w:rsid w:val="00CD06CA"/>
    <w:rsid w:val="00CD076A"/>
    <w:rsid w:val="00CD180C"/>
    <w:rsid w:val="00CD37DA"/>
    <w:rsid w:val="00CD4F2C"/>
    <w:rsid w:val="00CD731C"/>
    <w:rsid w:val="00CD7E48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3510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6B7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680"/>
    <w:rsid w:val="00DB311F"/>
    <w:rsid w:val="00DB3848"/>
    <w:rsid w:val="00DB428E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3CF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C79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D9E"/>
    <w:rsid w:val="00EF10BA"/>
    <w:rsid w:val="00EF1738"/>
    <w:rsid w:val="00EF2BAF"/>
    <w:rsid w:val="00EF3B8F"/>
    <w:rsid w:val="00EF543E"/>
    <w:rsid w:val="00EF559F"/>
    <w:rsid w:val="00EF5AA2"/>
    <w:rsid w:val="00EF6773"/>
    <w:rsid w:val="00EF7E26"/>
    <w:rsid w:val="00F005A2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B76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C69"/>
    <w:rsid w:val="00F44349"/>
    <w:rsid w:val="00F4569E"/>
    <w:rsid w:val="00F45AFC"/>
    <w:rsid w:val="00F462F4"/>
    <w:rsid w:val="00F4661D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2D0810-0BC2-4C8D-889C-A5A2074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3B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3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3B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3BC3"/>
    <w:rPr>
      <w:b/>
      <w:bCs/>
    </w:rPr>
  </w:style>
  <w:style w:type="paragraph" w:styleId="Revision">
    <w:name w:val="Revision"/>
    <w:hidden/>
    <w:uiPriority w:val="99"/>
    <w:semiHidden/>
    <w:rsid w:val="009364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5946</Characters>
  <Application>Microsoft Office Word</Application>
  <DocSecurity>4</DocSecurity>
  <Lines>112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SB00623 (Committee Report (Unamended))</vt:lpstr>
    </vt:vector>
  </TitlesOfParts>
  <Company>State of Texas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23185</dc:subject>
  <dc:creator>State of Texas</dc:creator>
  <dc:description>SB 623 by Blanco-(H)Defense &amp; Veterans' Affairs</dc:description>
  <cp:lastModifiedBy>Stacey Nicchio</cp:lastModifiedBy>
  <cp:revision>2</cp:revision>
  <cp:lastPrinted>2003-11-26T17:21:00Z</cp:lastPrinted>
  <dcterms:created xsi:type="dcterms:W3CDTF">2021-04-29T21:44:00Z</dcterms:created>
  <dcterms:modified xsi:type="dcterms:W3CDTF">2021-04-29T21:44:00Z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21.118.873</vt:lpwstr>
  </property>
</Properties>
</file>