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6A4" w:rsidRDefault="001E66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A90EDA900940D88EC13CBFB9E07947"/>
          </w:placeholder>
        </w:sdtPr>
        <w:sdtContent>
          <w:r w:rsidRPr="005C2A78">
            <w:rPr>
              <w:rFonts w:cs="Times New Roman"/>
              <w:b/>
              <w:szCs w:val="24"/>
              <w:u w:val="single"/>
            </w:rPr>
            <w:t>BILL ANALYSIS</w:t>
          </w:r>
        </w:sdtContent>
      </w:sdt>
    </w:p>
    <w:p w:rsidR="001E66A4" w:rsidRPr="00585C31" w:rsidRDefault="001E66A4" w:rsidP="000F1DF9">
      <w:pPr>
        <w:spacing w:after="0" w:line="240" w:lineRule="auto"/>
        <w:rPr>
          <w:rFonts w:cs="Times New Roman"/>
          <w:szCs w:val="24"/>
        </w:rPr>
      </w:pPr>
    </w:p>
    <w:p w:rsidR="001E66A4" w:rsidRPr="00585C31" w:rsidRDefault="001E66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66A4" w:rsidTr="000F1DF9">
        <w:tc>
          <w:tcPr>
            <w:tcW w:w="2718" w:type="dxa"/>
          </w:tcPr>
          <w:p w:rsidR="001E66A4" w:rsidRPr="005C2A78" w:rsidRDefault="001E66A4" w:rsidP="006D756B">
            <w:pPr>
              <w:rPr>
                <w:rFonts w:cs="Times New Roman"/>
                <w:szCs w:val="24"/>
              </w:rPr>
            </w:pPr>
            <w:sdt>
              <w:sdtPr>
                <w:rPr>
                  <w:rFonts w:cs="Times New Roman"/>
                  <w:szCs w:val="24"/>
                </w:rPr>
                <w:alias w:val="Agency Title"/>
                <w:tag w:val="AgencyTitleContentControl"/>
                <w:id w:val="1920747753"/>
                <w:lock w:val="sdtContentLocked"/>
                <w:placeholder>
                  <w:docPart w:val="48DA8D2DD3404372AF2C63FE596897CA"/>
                </w:placeholder>
              </w:sdtPr>
              <w:sdtEndPr>
                <w:rPr>
                  <w:rFonts w:cstheme="minorBidi"/>
                  <w:szCs w:val="22"/>
                </w:rPr>
              </w:sdtEndPr>
              <w:sdtContent>
                <w:r>
                  <w:rPr>
                    <w:rFonts w:cs="Times New Roman"/>
                    <w:szCs w:val="24"/>
                  </w:rPr>
                  <w:t>Senate Research Center</w:t>
                </w:r>
              </w:sdtContent>
            </w:sdt>
          </w:p>
        </w:tc>
        <w:tc>
          <w:tcPr>
            <w:tcW w:w="6858" w:type="dxa"/>
          </w:tcPr>
          <w:p w:rsidR="001E66A4" w:rsidRPr="00FF6471" w:rsidRDefault="001E66A4" w:rsidP="000F1DF9">
            <w:pPr>
              <w:jc w:val="right"/>
              <w:rPr>
                <w:rFonts w:cs="Times New Roman"/>
                <w:szCs w:val="24"/>
              </w:rPr>
            </w:pPr>
            <w:sdt>
              <w:sdtPr>
                <w:rPr>
                  <w:rFonts w:cs="Times New Roman"/>
                  <w:szCs w:val="24"/>
                </w:rPr>
                <w:alias w:val="Bill Number"/>
                <w:tag w:val="BillNumberOne"/>
                <w:id w:val="-410784069"/>
                <w:lock w:val="sdtContentLocked"/>
                <w:placeholder>
                  <w:docPart w:val="C87F9D3438D54208844E763EF5AC6563"/>
                </w:placeholder>
              </w:sdtPr>
              <w:sdtContent>
                <w:r>
                  <w:rPr>
                    <w:rFonts w:cs="Times New Roman"/>
                    <w:szCs w:val="24"/>
                  </w:rPr>
                  <w:t>S.B. 640</w:t>
                </w:r>
              </w:sdtContent>
            </w:sdt>
          </w:p>
        </w:tc>
      </w:tr>
      <w:tr w:rsidR="001E66A4" w:rsidTr="000F1DF9">
        <w:sdt>
          <w:sdtPr>
            <w:rPr>
              <w:rFonts w:cs="Times New Roman"/>
              <w:szCs w:val="24"/>
            </w:rPr>
            <w:alias w:val="TLCNumber"/>
            <w:tag w:val="TLCNumber"/>
            <w:id w:val="-542600604"/>
            <w:lock w:val="sdtLocked"/>
            <w:placeholder>
              <w:docPart w:val="CFF8C24A04FF4B7F9326E9CE8852C50B"/>
            </w:placeholder>
          </w:sdtPr>
          <w:sdtContent>
            <w:tc>
              <w:tcPr>
                <w:tcW w:w="2718" w:type="dxa"/>
              </w:tcPr>
              <w:p w:rsidR="001E66A4" w:rsidRPr="000F1DF9" w:rsidRDefault="001E66A4" w:rsidP="00C65088">
                <w:pPr>
                  <w:rPr>
                    <w:rFonts w:cs="Times New Roman"/>
                    <w:szCs w:val="24"/>
                  </w:rPr>
                </w:pPr>
                <w:r>
                  <w:rPr>
                    <w:rFonts w:cs="Times New Roman"/>
                    <w:szCs w:val="24"/>
                  </w:rPr>
                  <w:t>87R6191 JG-D</w:t>
                </w:r>
              </w:p>
            </w:tc>
          </w:sdtContent>
        </w:sdt>
        <w:tc>
          <w:tcPr>
            <w:tcW w:w="6858" w:type="dxa"/>
          </w:tcPr>
          <w:p w:rsidR="001E66A4" w:rsidRPr="005C2A78" w:rsidRDefault="001E66A4" w:rsidP="00073EDD">
            <w:pPr>
              <w:jc w:val="right"/>
              <w:rPr>
                <w:rFonts w:cs="Times New Roman"/>
                <w:szCs w:val="24"/>
              </w:rPr>
            </w:pPr>
            <w:sdt>
              <w:sdtPr>
                <w:rPr>
                  <w:rFonts w:cs="Times New Roman"/>
                  <w:szCs w:val="24"/>
                </w:rPr>
                <w:alias w:val="Author Label"/>
                <w:tag w:val="By"/>
                <w:id w:val="72399597"/>
                <w:lock w:val="sdtLocked"/>
                <w:placeholder>
                  <w:docPart w:val="961F443B99004594925FB5DC28867CD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14CD6121C9D4122A2FF95F805449D48"/>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76877E11578A498CAD1279289A2461B5"/>
                </w:placeholder>
                <w:showingPlcHdr/>
              </w:sdtPr>
              <w:sdtContent/>
            </w:sdt>
            <w:sdt>
              <w:sdtPr>
                <w:rPr>
                  <w:rFonts w:cs="Times New Roman"/>
                  <w:szCs w:val="24"/>
                </w:rPr>
                <w:alias w:val="DualSponsor"/>
                <w:tag w:val="DualSponsor"/>
                <w:id w:val="1029379812"/>
                <w:lock w:val="sdtContentLocked"/>
                <w:placeholder>
                  <w:docPart w:val="DB0067A665464620A926F935E559C4DC"/>
                </w:placeholder>
                <w:showingPlcHdr/>
              </w:sdtPr>
              <w:sdtContent/>
            </w:sdt>
          </w:p>
        </w:tc>
      </w:tr>
      <w:tr w:rsidR="001E66A4" w:rsidTr="000F1DF9">
        <w:tc>
          <w:tcPr>
            <w:tcW w:w="2718" w:type="dxa"/>
          </w:tcPr>
          <w:p w:rsidR="001E66A4" w:rsidRPr="00BC7495" w:rsidRDefault="001E66A4" w:rsidP="000F1DF9">
            <w:pPr>
              <w:rPr>
                <w:rFonts w:cs="Times New Roman"/>
                <w:szCs w:val="24"/>
              </w:rPr>
            </w:pPr>
          </w:p>
        </w:tc>
        <w:sdt>
          <w:sdtPr>
            <w:rPr>
              <w:rFonts w:cs="Times New Roman"/>
              <w:szCs w:val="24"/>
            </w:rPr>
            <w:alias w:val="Committee"/>
            <w:tag w:val="Committee"/>
            <w:id w:val="1914272295"/>
            <w:lock w:val="sdtContentLocked"/>
            <w:placeholder>
              <w:docPart w:val="7509C0676DB74272B0F75D613B930E28"/>
            </w:placeholder>
          </w:sdtPr>
          <w:sdtContent>
            <w:tc>
              <w:tcPr>
                <w:tcW w:w="6858" w:type="dxa"/>
              </w:tcPr>
              <w:p w:rsidR="001E66A4" w:rsidRPr="00FF6471" w:rsidRDefault="001E66A4" w:rsidP="000F1DF9">
                <w:pPr>
                  <w:jc w:val="right"/>
                  <w:rPr>
                    <w:rFonts w:cs="Times New Roman"/>
                    <w:szCs w:val="24"/>
                  </w:rPr>
                </w:pPr>
                <w:r>
                  <w:rPr>
                    <w:rFonts w:cs="Times New Roman"/>
                    <w:szCs w:val="24"/>
                  </w:rPr>
                  <w:t>Health &amp; Human Services</w:t>
                </w:r>
              </w:p>
            </w:tc>
          </w:sdtContent>
        </w:sdt>
      </w:tr>
      <w:tr w:rsidR="001E66A4" w:rsidTr="000F1DF9">
        <w:tc>
          <w:tcPr>
            <w:tcW w:w="2718" w:type="dxa"/>
          </w:tcPr>
          <w:p w:rsidR="001E66A4" w:rsidRPr="00BC7495" w:rsidRDefault="001E66A4" w:rsidP="000F1DF9">
            <w:pPr>
              <w:rPr>
                <w:rFonts w:cs="Times New Roman"/>
                <w:szCs w:val="24"/>
              </w:rPr>
            </w:pPr>
          </w:p>
        </w:tc>
        <w:sdt>
          <w:sdtPr>
            <w:rPr>
              <w:rFonts w:cs="Times New Roman"/>
              <w:szCs w:val="24"/>
            </w:rPr>
            <w:alias w:val="Date"/>
            <w:tag w:val="DateContentControl"/>
            <w:id w:val="1178081906"/>
            <w:lock w:val="sdtLocked"/>
            <w:placeholder>
              <w:docPart w:val="F2A8A716D4404EC29DCDD7148B7E84CF"/>
            </w:placeholder>
            <w:date w:fullDate="2021-03-29T00:00:00Z">
              <w:dateFormat w:val="M/d/yyyy"/>
              <w:lid w:val="en-US"/>
              <w:storeMappedDataAs w:val="dateTime"/>
              <w:calendar w:val="gregorian"/>
            </w:date>
          </w:sdtPr>
          <w:sdtContent>
            <w:tc>
              <w:tcPr>
                <w:tcW w:w="6858" w:type="dxa"/>
              </w:tcPr>
              <w:p w:rsidR="001E66A4" w:rsidRPr="00FF6471" w:rsidRDefault="001E66A4" w:rsidP="000F1DF9">
                <w:pPr>
                  <w:jc w:val="right"/>
                  <w:rPr>
                    <w:rFonts w:cs="Times New Roman"/>
                    <w:szCs w:val="24"/>
                  </w:rPr>
                </w:pPr>
                <w:r>
                  <w:rPr>
                    <w:rFonts w:cs="Times New Roman"/>
                    <w:szCs w:val="24"/>
                  </w:rPr>
                  <w:t>3/29/2021</w:t>
                </w:r>
              </w:p>
            </w:tc>
          </w:sdtContent>
        </w:sdt>
      </w:tr>
      <w:tr w:rsidR="001E66A4" w:rsidTr="000F1DF9">
        <w:tc>
          <w:tcPr>
            <w:tcW w:w="2718" w:type="dxa"/>
          </w:tcPr>
          <w:p w:rsidR="001E66A4" w:rsidRPr="00BC7495" w:rsidRDefault="001E66A4" w:rsidP="000F1DF9">
            <w:pPr>
              <w:rPr>
                <w:rFonts w:cs="Times New Roman"/>
                <w:szCs w:val="24"/>
              </w:rPr>
            </w:pPr>
          </w:p>
        </w:tc>
        <w:sdt>
          <w:sdtPr>
            <w:rPr>
              <w:rFonts w:cs="Times New Roman"/>
              <w:szCs w:val="24"/>
            </w:rPr>
            <w:alias w:val="BA Version"/>
            <w:tag w:val="BAVersion"/>
            <w:id w:val="-1685590809"/>
            <w:lock w:val="sdtContentLocked"/>
            <w:placeholder>
              <w:docPart w:val="5E3696857BD74C9A8ADD75C88821C968"/>
            </w:placeholder>
          </w:sdtPr>
          <w:sdtContent>
            <w:tc>
              <w:tcPr>
                <w:tcW w:w="6858" w:type="dxa"/>
              </w:tcPr>
              <w:p w:rsidR="001E66A4" w:rsidRPr="00FF6471" w:rsidRDefault="001E66A4" w:rsidP="000F1DF9">
                <w:pPr>
                  <w:jc w:val="right"/>
                  <w:rPr>
                    <w:rFonts w:cs="Times New Roman"/>
                    <w:szCs w:val="24"/>
                  </w:rPr>
                </w:pPr>
                <w:r>
                  <w:rPr>
                    <w:rFonts w:cs="Times New Roman"/>
                    <w:szCs w:val="24"/>
                  </w:rPr>
                  <w:t>As Filed</w:t>
                </w:r>
              </w:p>
            </w:tc>
          </w:sdtContent>
        </w:sdt>
      </w:tr>
    </w:tbl>
    <w:p w:rsidR="001E66A4" w:rsidRPr="00FF6471" w:rsidRDefault="001E66A4" w:rsidP="000F1DF9">
      <w:pPr>
        <w:spacing w:after="0" w:line="240" w:lineRule="auto"/>
        <w:rPr>
          <w:rFonts w:cs="Times New Roman"/>
          <w:szCs w:val="24"/>
        </w:rPr>
      </w:pPr>
    </w:p>
    <w:p w:rsidR="001E66A4" w:rsidRPr="00FF6471" w:rsidRDefault="001E66A4" w:rsidP="000F1DF9">
      <w:pPr>
        <w:spacing w:after="0" w:line="240" w:lineRule="auto"/>
        <w:rPr>
          <w:rFonts w:cs="Times New Roman"/>
          <w:szCs w:val="24"/>
        </w:rPr>
      </w:pPr>
    </w:p>
    <w:p w:rsidR="001E66A4" w:rsidRPr="00FF6471" w:rsidRDefault="001E66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E0AA61E9E564F4C8FD10275A15DE01A"/>
        </w:placeholder>
      </w:sdtPr>
      <w:sdtContent>
        <w:p w:rsidR="001E66A4" w:rsidRDefault="001E66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472EA4181D4E5BAE6BD0868755FDD2"/>
        </w:placeholder>
      </w:sdtPr>
      <w:sdtContent>
        <w:p w:rsidR="001E66A4" w:rsidRDefault="001E66A4" w:rsidP="00FC1E8D">
          <w:pPr>
            <w:pStyle w:val="NormalWeb"/>
            <w:spacing w:before="0" w:beforeAutospacing="0" w:after="0" w:afterAutospacing="0"/>
            <w:jc w:val="both"/>
            <w:divId w:val="1317344409"/>
            <w:rPr>
              <w:rFonts w:eastAsia="Times New Roman"/>
              <w:bCs/>
            </w:rPr>
          </w:pPr>
        </w:p>
        <w:p w:rsidR="001E66A4" w:rsidRDefault="001E66A4" w:rsidP="00FC1E8D">
          <w:pPr>
            <w:pStyle w:val="NormalWeb"/>
            <w:spacing w:before="0" w:beforeAutospacing="0" w:after="0" w:afterAutospacing="0"/>
            <w:jc w:val="both"/>
            <w:divId w:val="1317344409"/>
            <w:rPr>
              <w:color w:val="000000"/>
            </w:rPr>
          </w:pPr>
          <w:r>
            <w:rPr>
              <w:color w:val="000000"/>
            </w:rPr>
            <w:t>The Texas</w:t>
          </w:r>
          <w:r w:rsidRPr="0013181C">
            <w:rPr>
              <w:color w:val="000000"/>
            </w:rPr>
            <w:t xml:space="preserve"> 1115 waiver and Health and Human Services Commission</w:t>
          </w:r>
          <w:r>
            <w:rPr>
              <w:color w:val="000000"/>
            </w:rPr>
            <w:t xml:space="preserve"> </w:t>
          </w:r>
          <w:r w:rsidRPr="0013181C">
            <w:rPr>
              <w:color w:val="000000"/>
            </w:rPr>
            <w:t xml:space="preserve">transition plan states that Texas needs to strengthen its sharing of electronic health information in order to accomplish these goals. Unfortunately, the technological readiness and interoperability of the behavioral health facilities in our state, a priority population identified in this plan, is lagging when compared to their physical health counterparts. </w:t>
          </w:r>
        </w:p>
        <w:p w:rsidR="001E66A4" w:rsidRPr="0013181C" w:rsidRDefault="001E66A4" w:rsidP="00FC1E8D">
          <w:pPr>
            <w:pStyle w:val="NormalWeb"/>
            <w:spacing w:before="0" w:beforeAutospacing="0" w:after="0" w:afterAutospacing="0"/>
            <w:jc w:val="both"/>
            <w:divId w:val="1317344409"/>
            <w:rPr>
              <w:color w:val="000000"/>
            </w:rPr>
          </w:pPr>
        </w:p>
        <w:p w:rsidR="001E66A4" w:rsidRDefault="001E66A4" w:rsidP="00FC1E8D">
          <w:pPr>
            <w:pStyle w:val="NormalWeb"/>
            <w:spacing w:before="0" w:beforeAutospacing="0" w:after="0" w:afterAutospacing="0"/>
            <w:jc w:val="both"/>
            <w:divId w:val="1317344409"/>
            <w:rPr>
              <w:color w:val="000000"/>
            </w:rPr>
          </w:pPr>
          <w:r w:rsidRPr="0013181C">
            <w:rPr>
              <w:color w:val="000000"/>
            </w:rPr>
            <w:t>By not having the behavioral health technology up to par, we are hurting patients in our state who rely on this technology and communication to receive adequate care. While most state hospitals and local mental health authorities are on electronic health records, they are not fully sharing electronic data. This leaves primary and medical providers without the full picture of a patient, making it difficult to achieve fully integrated care. As the medical sector continues to expand their technologies to leverage clinical decision support, improve care quality</w:t>
          </w:r>
          <w:r>
            <w:rPr>
              <w:color w:val="000000"/>
            </w:rPr>
            <w:t>,</w:t>
          </w:r>
          <w:r w:rsidRPr="0013181C">
            <w:rPr>
              <w:color w:val="000000"/>
            </w:rPr>
            <w:t xml:space="preserve"> and empower patients, the disparity between behavioral health providers and patient engagement may continue to widen. </w:t>
          </w:r>
        </w:p>
        <w:p w:rsidR="001E66A4" w:rsidRPr="0013181C" w:rsidRDefault="001E66A4" w:rsidP="00FC1E8D">
          <w:pPr>
            <w:pStyle w:val="NormalWeb"/>
            <w:spacing w:before="0" w:beforeAutospacing="0" w:after="0" w:afterAutospacing="0"/>
            <w:jc w:val="both"/>
            <w:divId w:val="1317344409"/>
            <w:rPr>
              <w:color w:val="000000"/>
            </w:rPr>
          </w:pPr>
        </w:p>
        <w:p w:rsidR="001E66A4" w:rsidRDefault="001E66A4" w:rsidP="00FC1E8D">
          <w:pPr>
            <w:pStyle w:val="NormalWeb"/>
            <w:spacing w:before="0" w:beforeAutospacing="0" w:after="0" w:afterAutospacing="0"/>
            <w:jc w:val="both"/>
            <w:divId w:val="1317344409"/>
            <w:rPr>
              <w:color w:val="000000"/>
            </w:rPr>
          </w:pPr>
          <w:r w:rsidRPr="0013181C">
            <w:rPr>
              <w:color w:val="000000"/>
            </w:rPr>
            <w:t xml:space="preserve">With growth in telehealth services, we must ensure our behavioral health technology is adequately providing critical care to Texas patients. Telehealth in behavioral health is challenging if digitized data, forms, and consents cannot be shared between providers and patients. </w:t>
          </w:r>
        </w:p>
        <w:p w:rsidR="001E66A4" w:rsidRPr="0013181C" w:rsidRDefault="001E66A4" w:rsidP="00FC1E8D">
          <w:pPr>
            <w:pStyle w:val="NormalWeb"/>
            <w:spacing w:before="0" w:beforeAutospacing="0" w:after="0" w:afterAutospacing="0"/>
            <w:jc w:val="both"/>
            <w:divId w:val="1317344409"/>
            <w:rPr>
              <w:color w:val="000000"/>
            </w:rPr>
          </w:pPr>
        </w:p>
        <w:p w:rsidR="001E66A4" w:rsidRPr="0013181C" w:rsidRDefault="001E66A4" w:rsidP="00FC1E8D">
          <w:pPr>
            <w:pStyle w:val="NormalWeb"/>
            <w:spacing w:before="0" w:beforeAutospacing="0" w:after="0" w:afterAutospacing="0"/>
            <w:jc w:val="both"/>
            <w:divId w:val="1317344409"/>
            <w:rPr>
              <w:color w:val="000000"/>
            </w:rPr>
          </w:pPr>
          <w:r w:rsidRPr="0013181C">
            <w:rPr>
              <w:color w:val="000000"/>
            </w:rPr>
            <w:t>S</w:t>
          </w:r>
          <w:r>
            <w:rPr>
              <w:color w:val="000000"/>
            </w:rPr>
            <w:t>.</w:t>
          </w:r>
          <w:r w:rsidRPr="0013181C">
            <w:rPr>
              <w:color w:val="000000"/>
            </w:rPr>
            <w:t>B</w:t>
          </w:r>
          <w:r>
            <w:rPr>
              <w:color w:val="000000"/>
            </w:rPr>
            <w:t>.</w:t>
          </w:r>
          <w:r w:rsidRPr="0013181C">
            <w:rPr>
              <w:color w:val="000000"/>
            </w:rPr>
            <w:t xml:space="preserve"> 640 will assist the state in understanding the behavioral health technology landscape by conducting a survey that will review technology readiness, interoperability, and gaps in state-supportive behavioral health organizations, managed care, and key Medicaid stakeholders. It will also review the rules or processes that create barriers between managed care and providers, and any costs or funding that may be needed to reach a readiness baseline for behavioral health to be included in future incentive plans and waiver requests. As telehealth will continue to be a</w:t>
          </w:r>
          <w:r>
            <w:rPr>
              <w:color w:val="000000"/>
            </w:rPr>
            <w:t xml:space="preserve"> </w:t>
          </w:r>
          <w:r w:rsidRPr="0013181C">
            <w:rPr>
              <w:color w:val="000000"/>
            </w:rPr>
            <w:t>part of care after COVID-19, behavioral health technology still lags behind other care in the state. This study will help us identify gaps, and put us on a path towards strengthening our behavioral health technology.</w:t>
          </w:r>
        </w:p>
        <w:p w:rsidR="001E66A4" w:rsidRPr="00D70925" w:rsidRDefault="001E66A4" w:rsidP="00FC1E8D">
          <w:pPr>
            <w:spacing w:after="0" w:line="240" w:lineRule="auto"/>
            <w:jc w:val="both"/>
            <w:rPr>
              <w:rFonts w:eastAsia="Times New Roman" w:cs="Times New Roman"/>
              <w:bCs/>
              <w:szCs w:val="24"/>
            </w:rPr>
          </w:pPr>
        </w:p>
      </w:sdtContent>
    </w:sdt>
    <w:p w:rsidR="001E66A4" w:rsidRDefault="001E66A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640 </w:t>
      </w:r>
      <w:bookmarkStart w:id="1" w:name="AmendsCurrentLaw"/>
      <w:bookmarkEnd w:id="1"/>
      <w:r>
        <w:rPr>
          <w:rFonts w:cs="Times New Roman"/>
          <w:szCs w:val="24"/>
        </w:rPr>
        <w:t>amends current law relating to a study on the interoperability needs and technology readiness of behavioral health service providers in this state.</w:t>
      </w:r>
    </w:p>
    <w:p w:rsidR="001E66A4" w:rsidRPr="002109BC" w:rsidRDefault="001E66A4" w:rsidP="000F1DF9">
      <w:pPr>
        <w:spacing w:after="0" w:line="240" w:lineRule="auto"/>
        <w:jc w:val="both"/>
        <w:rPr>
          <w:rFonts w:eastAsia="Times New Roman" w:cs="Times New Roman"/>
          <w:szCs w:val="24"/>
        </w:rPr>
      </w:pPr>
    </w:p>
    <w:p w:rsidR="001E66A4" w:rsidRPr="005C2A78" w:rsidRDefault="001E66A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B1B60EAB5C432EBE631B884746D7CD"/>
          </w:placeholder>
        </w:sdtPr>
        <w:sdtContent>
          <w:r>
            <w:rPr>
              <w:rFonts w:eastAsia="Times New Roman" w:cs="Times New Roman"/>
              <w:b/>
              <w:szCs w:val="24"/>
              <w:u w:val="single"/>
            </w:rPr>
            <w:t>RULEMAKING AUTHORITY</w:t>
          </w:r>
        </w:sdtContent>
      </w:sdt>
    </w:p>
    <w:p w:rsidR="001E66A4" w:rsidRPr="006529C4" w:rsidRDefault="001E66A4" w:rsidP="00774EC7">
      <w:pPr>
        <w:spacing w:after="0" w:line="240" w:lineRule="auto"/>
        <w:jc w:val="both"/>
        <w:rPr>
          <w:rFonts w:cs="Times New Roman"/>
          <w:szCs w:val="24"/>
        </w:rPr>
      </w:pPr>
    </w:p>
    <w:p w:rsidR="001E66A4" w:rsidRPr="006529C4" w:rsidRDefault="001E66A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E66A4" w:rsidRPr="006529C4" w:rsidRDefault="001E66A4" w:rsidP="00774EC7">
      <w:pPr>
        <w:spacing w:after="0" w:line="240" w:lineRule="auto"/>
        <w:jc w:val="both"/>
        <w:rPr>
          <w:rFonts w:cs="Times New Roman"/>
          <w:szCs w:val="24"/>
        </w:rPr>
      </w:pPr>
    </w:p>
    <w:p w:rsidR="001E66A4" w:rsidRPr="005C2A78" w:rsidRDefault="001E66A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890E4B481947EE850614F3E54B5C35"/>
          </w:placeholder>
        </w:sdtPr>
        <w:sdtContent>
          <w:r>
            <w:rPr>
              <w:rFonts w:eastAsia="Times New Roman" w:cs="Times New Roman"/>
              <w:b/>
              <w:szCs w:val="24"/>
              <w:u w:val="single"/>
            </w:rPr>
            <w:t>SECTION BY SECTION ANALYSIS</w:t>
          </w:r>
        </w:sdtContent>
      </w:sdt>
    </w:p>
    <w:p w:rsidR="001E66A4" w:rsidRPr="005C2A78" w:rsidRDefault="001E66A4" w:rsidP="000F1DF9">
      <w:pPr>
        <w:spacing w:after="0" w:line="240" w:lineRule="auto"/>
        <w:jc w:val="both"/>
        <w:rPr>
          <w:rFonts w:eastAsia="Times New Roman" w:cs="Times New Roman"/>
          <w:szCs w:val="24"/>
        </w:rPr>
      </w:pPr>
    </w:p>
    <w:p w:rsidR="001E66A4" w:rsidRPr="00FC1E8D" w:rsidRDefault="001E66A4" w:rsidP="00916E73">
      <w:pPr>
        <w:spacing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Defines "advisory committee," "commission," and "executive commissioner."</w:t>
      </w:r>
    </w:p>
    <w:p w:rsidR="001E66A4" w:rsidRDefault="001E66A4" w:rsidP="00916E73">
      <w:pPr>
        <w:spacing w:line="240" w:lineRule="auto"/>
        <w:ind w:left="720"/>
        <w:jc w:val="both"/>
      </w:pPr>
      <w:r>
        <w:rPr>
          <w:rFonts w:eastAsia="Times New Roman" w:cs="Times New Roman"/>
          <w:szCs w:val="24"/>
        </w:rPr>
        <w:t>(b)</w:t>
      </w:r>
      <w:r>
        <w:t xml:space="preserve"> Requires the Health and Human Services Commission (HHSC)  and the e-Health Advisory Committee (advisory committee), to jointly conduct a study to assess the interoperability needs and technology readiness of behavioral health service providers in this state, including the needs and readiness of certain facilities.</w:t>
      </w:r>
    </w:p>
    <w:p w:rsidR="001E66A4" w:rsidRDefault="001E66A4" w:rsidP="00916E73">
      <w:pPr>
        <w:spacing w:line="240" w:lineRule="auto"/>
        <w:ind w:left="720"/>
        <w:jc w:val="both"/>
      </w:pPr>
      <w:r>
        <w:t>(c)  Requires HHSC and the advisory committee, in conducting the study under Subsection (b), to determine which of the providers described by that subsection use an electronic health record management system and evaluate:</w:t>
      </w:r>
    </w:p>
    <w:p w:rsidR="001E66A4" w:rsidRDefault="001E66A4" w:rsidP="00916E73">
      <w:pPr>
        <w:spacing w:line="240" w:lineRule="auto"/>
        <w:ind w:left="1440"/>
        <w:jc w:val="both"/>
      </w:pPr>
      <w:r>
        <w:t>(1)  for each of those providers that use an electronic health record management system:</w:t>
      </w:r>
    </w:p>
    <w:p w:rsidR="001E66A4" w:rsidRDefault="001E66A4" w:rsidP="00916E73">
      <w:pPr>
        <w:spacing w:line="240" w:lineRule="auto"/>
        <w:ind w:left="2160"/>
        <w:jc w:val="both"/>
      </w:pPr>
      <w:r>
        <w:t>(A)  when the provider implemented the electronic health record management system;</w:t>
      </w:r>
    </w:p>
    <w:p w:rsidR="001E66A4" w:rsidRDefault="001E66A4" w:rsidP="00916E73">
      <w:pPr>
        <w:spacing w:line="240" w:lineRule="auto"/>
        <w:ind w:left="2160"/>
        <w:jc w:val="both"/>
      </w:pPr>
      <w:r>
        <w:t>(B)  whether the provider is also connected to a system outside of the provider's electronic health record management system and, if connected, certain information about the outside system; and</w:t>
      </w:r>
    </w:p>
    <w:p w:rsidR="001E66A4" w:rsidRDefault="001E66A4" w:rsidP="00916E73">
      <w:pPr>
        <w:spacing w:line="240" w:lineRule="auto"/>
        <w:ind w:left="2160"/>
        <w:jc w:val="both"/>
      </w:pPr>
      <w:r>
        <w:t>(C)  what the provider finds valuable about using an electronic health record management system or being connected to an outside system, including what the provider finds useful about certain monitoring and management systems; and</w:t>
      </w:r>
    </w:p>
    <w:p w:rsidR="001E66A4" w:rsidRDefault="001E66A4" w:rsidP="00916E73">
      <w:pPr>
        <w:spacing w:line="240" w:lineRule="auto"/>
        <w:ind w:left="1440"/>
        <w:jc w:val="both"/>
      </w:pPr>
      <w:r>
        <w:t>(2)  certain barriers to being connected or to becoming connected for both the providers who use an electronic health record management system or an outside system and the providers who do not use either system.</w:t>
      </w:r>
    </w:p>
    <w:p w:rsidR="001E66A4" w:rsidRDefault="001E66A4" w:rsidP="00916E73">
      <w:pPr>
        <w:spacing w:line="240" w:lineRule="auto"/>
        <w:ind w:left="720" w:firstLine="60"/>
        <w:jc w:val="both"/>
      </w:pPr>
      <w:r>
        <w:t>(d)  Requires the advisory committee, based on the results of the study conducted under Subsection (b) of this section and not later than August 31, 2022, to prepare and submit to HHSC, the legislature, lieutenant governor, and governor a written report that includes:</w:t>
      </w:r>
    </w:p>
    <w:p w:rsidR="001E66A4" w:rsidRDefault="001E66A4" w:rsidP="00916E73">
      <w:pPr>
        <w:spacing w:line="240" w:lineRule="auto"/>
        <w:ind w:left="1440"/>
        <w:jc w:val="both"/>
      </w:pPr>
      <w:r>
        <w:t>(1)  a state plan, including a proposed timeline, for aligning the interoperability and technological capabilities in the provision of behavioral health services with certain applicable law;</w:t>
      </w:r>
    </w:p>
    <w:p w:rsidR="001E66A4" w:rsidRDefault="001E66A4" w:rsidP="00916E73">
      <w:pPr>
        <w:spacing w:line="240" w:lineRule="auto"/>
        <w:ind w:left="1440"/>
        <w:jc w:val="both"/>
      </w:pPr>
      <w:r>
        <w:t>(2)  information on gaps in education, and recommendations for closing those gaps, regarding the appropriate sharing of behavioral health data, including education on certain topics;</w:t>
      </w:r>
    </w:p>
    <w:p w:rsidR="001E66A4" w:rsidRDefault="001E66A4" w:rsidP="00916E73">
      <w:pPr>
        <w:spacing w:line="240" w:lineRule="auto"/>
        <w:ind w:left="1440"/>
        <w:jc w:val="both"/>
      </w:pPr>
      <w:r>
        <w:t xml:space="preserve"> (3)  an evaluation of the differences and similarities between federal and state law on the interoperability and technological requirements in the provision of behavioral health services; and</w:t>
      </w:r>
    </w:p>
    <w:p w:rsidR="001E66A4" w:rsidRDefault="001E66A4" w:rsidP="00916E73">
      <w:pPr>
        <w:spacing w:line="240" w:lineRule="auto"/>
        <w:ind w:firstLine="1440"/>
        <w:jc w:val="both"/>
      </w:pPr>
      <w:r>
        <w:t>(4)  recommendations for standardizing the use of social determinants of health.</w:t>
      </w:r>
    </w:p>
    <w:p w:rsidR="001E66A4" w:rsidRPr="002109BC" w:rsidRDefault="001E66A4" w:rsidP="00916E73">
      <w:pPr>
        <w:spacing w:line="240" w:lineRule="auto"/>
        <w:ind w:left="720"/>
        <w:jc w:val="both"/>
      </w:pPr>
      <w:r>
        <w:t>(e)  Requires HHSC, to the extent permitted by law and as the executive commissioner of HHSC determines appropriate, to implement within HHSC's prescribed authority, a component of the plan or a regulatory recommendation included in the report required under Subsection (d) of this section.</w:t>
      </w:r>
    </w:p>
    <w:p w:rsidR="001E66A4" w:rsidRPr="005C2A78" w:rsidRDefault="001E66A4" w:rsidP="00916E73">
      <w:pPr>
        <w:spacing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expires September 1, 2023.</w:t>
      </w:r>
    </w:p>
    <w:p w:rsidR="001E66A4" w:rsidRPr="00C8671F" w:rsidRDefault="001E66A4" w:rsidP="00916E73">
      <w:pPr>
        <w:spacing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2021. </w:t>
      </w:r>
    </w:p>
    <w:sectPr w:rsidR="001E66A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E2E" w:rsidRDefault="002F2E2E" w:rsidP="000F1DF9">
      <w:pPr>
        <w:spacing w:after="0" w:line="240" w:lineRule="auto"/>
      </w:pPr>
      <w:r>
        <w:separator/>
      </w:r>
    </w:p>
  </w:endnote>
  <w:endnote w:type="continuationSeparator" w:id="0">
    <w:p w:rsidR="002F2E2E" w:rsidRDefault="002F2E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F2E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66A4">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66A4">
                <w:rPr>
                  <w:sz w:val="20"/>
                  <w:szCs w:val="20"/>
                </w:rPr>
                <w:t>S.B. 640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66A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F2E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E66A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E66A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E2E" w:rsidRDefault="002F2E2E" w:rsidP="000F1DF9">
      <w:pPr>
        <w:spacing w:after="0" w:line="240" w:lineRule="auto"/>
      </w:pPr>
      <w:r>
        <w:separator/>
      </w:r>
    </w:p>
  </w:footnote>
  <w:footnote w:type="continuationSeparator" w:id="0">
    <w:p w:rsidR="002F2E2E" w:rsidRDefault="002F2E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E66A4"/>
    <w:rsid w:val="002355A9"/>
    <w:rsid w:val="00257C49"/>
    <w:rsid w:val="002F2E2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26C40"/>
  <w15:docId w15:val="{3E7D4B95-DCF7-4026-9FE5-B80AD216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66A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34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A90EDA900940D88EC13CBFB9E07947"/>
        <w:category>
          <w:name w:val="General"/>
          <w:gallery w:val="placeholder"/>
        </w:category>
        <w:types>
          <w:type w:val="bbPlcHdr"/>
        </w:types>
        <w:behaviors>
          <w:behavior w:val="content"/>
        </w:behaviors>
        <w:guid w:val="{F93A26A6-3455-4CC8-A50A-5284EE854FBD}"/>
      </w:docPartPr>
      <w:docPartBody>
        <w:p w:rsidR="00000000" w:rsidRDefault="00C2015F"/>
      </w:docPartBody>
    </w:docPart>
    <w:docPart>
      <w:docPartPr>
        <w:name w:val="48DA8D2DD3404372AF2C63FE596897CA"/>
        <w:category>
          <w:name w:val="General"/>
          <w:gallery w:val="placeholder"/>
        </w:category>
        <w:types>
          <w:type w:val="bbPlcHdr"/>
        </w:types>
        <w:behaviors>
          <w:behavior w:val="content"/>
        </w:behaviors>
        <w:guid w:val="{103D2671-B5B2-426D-A8B2-97787AAE5812}"/>
      </w:docPartPr>
      <w:docPartBody>
        <w:p w:rsidR="00000000" w:rsidRDefault="00C2015F"/>
      </w:docPartBody>
    </w:docPart>
    <w:docPart>
      <w:docPartPr>
        <w:name w:val="C87F9D3438D54208844E763EF5AC6563"/>
        <w:category>
          <w:name w:val="General"/>
          <w:gallery w:val="placeholder"/>
        </w:category>
        <w:types>
          <w:type w:val="bbPlcHdr"/>
        </w:types>
        <w:behaviors>
          <w:behavior w:val="content"/>
        </w:behaviors>
        <w:guid w:val="{1D4543CE-E70A-410F-AD55-F31393B97BCC}"/>
      </w:docPartPr>
      <w:docPartBody>
        <w:p w:rsidR="00000000" w:rsidRDefault="00C2015F"/>
      </w:docPartBody>
    </w:docPart>
    <w:docPart>
      <w:docPartPr>
        <w:name w:val="CFF8C24A04FF4B7F9326E9CE8852C50B"/>
        <w:category>
          <w:name w:val="General"/>
          <w:gallery w:val="placeholder"/>
        </w:category>
        <w:types>
          <w:type w:val="bbPlcHdr"/>
        </w:types>
        <w:behaviors>
          <w:behavior w:val="content"/>
        </w:behaviors>
        <w:guid w:val="{4E81689D-3954-4747-96DF-8D63668D73E1}"/>
      </w:docPartPr>
      <w:docPartBody>
        <w:p w:rsidR="00000000" w:rsidRDefault="00C2015F"/>
      </w:docPartBody>
    </w:docPart>
    <w:docPart>
      <w:docPartPr>
        <w:name w:val="961F443B99004594925FB5DC28867CDA"/>
        <w:category>
          <w:name w:val="General"/>
          <w:gallery w:val="placeholder"/>
        </w:category>
        <w:types>
          <w:type w:val="bbPlcHdr"/>
        </w:types>
        <w:behaviors>
          <w:behavior w:val="content"/>
        </w:behaviors>
        <w:guid w:val="{A47875D0-E0ED-4FB5-BC53-C6AE64DEA54A}"/>
      </w:docPartPr>
      <w:docPartBody>
        <w:p w:rsidR="00000000" w:rsidRDefault="00C2015F"/>
      </w:docPartBody>
    </w:docPart>
    <w:docPart>
      <w:docPartPr>
        <w:name w:val="914CD6121C9D4122A2FF95F805449D48"/>
        <w:category>
          <w:name w:val="General"/>
          <w:gallery w:val="placeholder"/>
        </w:category>
        <w:types>
          <w:type w:val="bbPlcHdr"/>
        </w:types>
        <w:behaviors>
          <w:behavior w:val="content"/>
        </w:behaviors>
        <w:guid w:val="{F77E2AD1-2FBD-448A-83F4-EFC486D1CCB4}"/>
      </w:docPartPr>
      <w:docPartBody>
        <w:p w:rsidR="00000000" w:rsidRDefault="00C2015F"/>
      </w:docPartBody>
    </w:docPart>
    <w:docPart>
      <w:docPartPr>
        <w:name w:val="76877E11578A498CAD1279289A2461B5"/>
        <w:category>
          <w:name w:val="General"/>
          <w:gallery w:val="placeholder"/>
        </w:category>
        <w:types>
          <w:type w:val="bbPlcHdr"/>
        </w:types>
        <w:behaviors>
          <w:behavior w:val="content"/>
        </w:behaviors>
        <w:guid w:val="{8745AAF3-DF4A-4678-8249-654340EE8D22}"/>
      </w:docPartPr>
      <w:docPartBody>
        <w:p w:rsidR="00000000" w:rsidRDefault="00C2015F"/>
      </w:docPartBody>
    </w:docPart>
    <w:docPart>
      <w:docPartPr>
        <w:name w:val="DB0067A665464620A926F935E559C4DC"/>
        <w:category>
          <w:name w:val="General"/>
          <w:gallery w:val="placeholder"/>
        </w:category>
        <w:types>
          <w:type w:val="bbPlcHdr"/>
        </w:types>
        <w:behaviors>
          <w:behavior w:val="content"/>
        </w:behaviors>
        <w:guid w:val="{68B91A07-E16A-4C22-B1C8-1EAFA4A898CE}"/>
      </w:docPartPr>
      <w:docPartBody>
        <w:p w:rsidR="00000000" w:rsidRDefault="00C2015F"/>
      </w:docPartBody>
    </w:docPart>
    <w:docPart>
      <w:docPartPr>
        <w:name w:val="7509C0676DB74272B0F75D613B930E28"/>
        <w:category>
          <w:name w:val="General"/>
          <w:gallery w:val="placeholder"/>
        </w:category>
        <w:types>
          <w:type w:val="bbPlcHdr"/>
        </w:types>
        <w:behaviors>
          <w:behavior w:val="content"/>
        </w:behaviors>
        <w:guid w:val="{52594AFF-C291-4E19-B720-AF75B1E40281}"/>
      </w:docPartPr>
      <w:docPartBody>
        <w:p w:rsidR="00000000" w:rsidRDefault="00C2015F"/>
      </w:docPartBody>
    </w:docPart>
    <w:docPart>
      <w:docPartPr>
        <w:name w:val="F2A8A716D4404EC29DCDD7148B7E84CF"/>
        <w:category>
          <w:name w:val="General"/>
          <w:gallery w:val="placeholder"/>
        </w:category>
        <w:types>
          <w:type w:val="bbPlcHdr"/>
        </w:types>
        <w:behaviors>
          <w:behavior w:val="content"/>
        </w:behaviors>
        <w:guid w:val="{27F607CF-A8BF-4949-B247-8175868A4E57}"/>
      </w:docPartPr>
      <w:docPartBody>
        <w:p w:rsidR="00000000" w:rsidRDefault="004150FC" w:rsidP="004150FC">
          <w:pPr>
            <w:pStyle w:val="F2A8A716D4404EC29DCDD7148B7E84CF"/>
          </w:pPr>
          <w:r w:rsidRPr="00A30DD1">
            <w:rPr>
              <w:rStyle w:val="PlaceholderText"/>
            </w:rPr>
            <w:t>Click here to enter a date.</w:t>
          </w:r>
        </w:p>
      </w:docPartBody>
    </w:docPart>
    <w:docPart>
      <w:docPartPr>
        <w:name w:val="5E3696857BD74C9A8ADD75C88821C968"/>
        <w:category>
          <w:name w:val="General"/>
          <w:gallery w:val="placeholder"/>
        </w:category>
        <w:types>
          <w:type w:val="bbPlcHdr"/>
        </w:types>
        <w:behaviors>
          <w:behavior w:val="content"/>
        </w:behaviors>
        <w:guid w:val="{96902E27-251A-42F1-AA0A-BD8CEAE4C6D1}"/>
      </w:docPartPr>
      <w:docPartBody>
        <w:p w:rsidR="00000000" w:rsidRDefault="00C2015F"/>
      </w:docPartBody>
    </w:docPart>
    <w:docPart>
      <w:docPartPr>
        <w:name w:val="7E0AA61E9E564F4C8FD10275A15DE01A"/>
        <w:category>
          <w:name w:val="General"/>
          <w:gallery w:val="placeholder"/>
        </w:category>
        <w:types>
          <w:type w:val="bbPlcHdr"/>
        </w:types>
        <w:behaviors>
          <w:behavior w:val="content"/>
        </w:behaviors>
        <w:guid w:val="{CA6612BA-0292-46AF-8342-1DA2422FB883}"/>
      </w:docPartPr>
      <w:docPartBody>
        <w:p w:rsidR="00000000" w:rsidRDefault="00C2015F"/>
      </w:docPartBody>
    </w:docPart>
    <w:docPart>
      <w:docPartPr>
        <w:name w:val="3C472EA4181D4E5BAE6BD0868755FDD2"/>
        <w:category>
          <w:name w:val="General"/>
          <w:gallery w:val="placeholder"/>
        </w:category>
        <w:types>
          <w:type w:val="bbPlcHdr"/>
        </w:types>
        <w:behaviors>
          <w:behavior w:val="content"/>
        </w:behaviors>
        <w:guid w:val="{ED3C2E50-956E-45AB-8635-69ADFB358D0F}"/>
      </w:docPartPr>
      <w:docPartBody>
        <w:p w:rsidR="00000000" w:rsidRDefault="004150FC" w:rsidP="004150FC">
          <w:pPr>
            <w:pStyle w:val="3C472EA4181D4E5BAE6BD0868755FDD2"/>
          </w:pPr>
          <w:r>
            <w:rPr>
              <w:rFonts w:eastAsia="Times New Roman" w:cs="Times New Roman"/>
              <w:bCs/>
              <w:szCs w:val="24"/>
            </w:rPr>
            <w:t xml:space="preserve"> </w:t>
          </w:r>
        </w:p>
      </w:docPartBody>
    </w:docPart>
    <w:docPart>
      <w:docPartPr>
        <w:name w:val="F1B1B60EAB5C432EBE631B884746D7CD"/>
        <w:category>
          <w:name w:val="General"/>
          <w:gallery w:val="placeholder"/>
        </w:category>
        <w:types>
          <w:type w:val="bbPlcHdr"/>
        </w:types>
        <w:behaviors>
          <w:behavior w:val="content"/>
        </w:behaviors>
        <w:guid w:val="{7B69E9C3-BFEF-4992-9C27-5DC4CD75EF45}"/>
      </w:docPartPr>
      <w:docPartBody>
        <w:p w:rsidR="00000000" w:rsidRDefault="00C2015F"/>
      </w:docPartBody>
    </w:docPart>
    <w:docPart>
      <w:docPartPr>
        <w:name w:val="0C890E4B481947EE850614F3E54B5C35"/>
        <w:category>
          <w:name w:val="General"/>
          <w:gallery w:val="placeholder"/>
        </w:category>
        <w:types>
          <w:type w:val="bbPlcHdr"/>
        </w:types>
        <w:behaviors>
          <w:behavior w:val="content"/>
        </w:behaviors>
        <w:guid w:val="{B6E909C1-AC34-4FA3-911A-5EAECA604635}"/>
      </w:docPartPr>
      <w:docPartBody>
        <w:p w:rsidR="00000000" w:rsidRDefault="00C20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50F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015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0F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2A8A716D4404EC29DCDD7148B7E84CF">
    <w:name w:val="F2A8A716D4404EC29DCDD7148B7E84CF"/>
    <w:rsid w:val="004150FC"/>
    <w:pPr>
      <w:spacing w:after="160" w:line="259" w:lineRule="auto"/>
    </w:pPr>
  </w:style>
  <w:style w:type="paragraph" w:customStyle="1" w:styleId="3C472EA4181D4E5BAE6BD0868755FDD2">
    <w:name w:val="3C472EA4181D4E5BAE6BD0868755FDD2"/>
    <w:rsid w:val="004150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97B3186-D0F7-4DA4-BEA7-A094700D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816</Words>
  <Characters>4656</Characters>
  <Application>Microsoft Office Word</Application>
  <DocSecurity>0</DocSecurity>
  <Lines>38</Lines>
  <Paragraphs>10</Paragraphs>
  <ScaleCrop>false</ScaleCrop>
  <Company>Texas Legislative Council</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2021-03-29T17:15:00Z</dcterms:modified>
</cp:coreProperties>
</file>

<file path=docProps/custom.xml><?xml version="1.0" encoding="utf-8"?>
<op:Properties xmlns:vt="http://schemas.openxmlformats.org/officeDocument/2006/docPropsVTypes" xmlns:op="http://schemas.openxmlformats.org/officeDocument/2006/custom-properties"/>
</file>