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5D87" w14:paraId="12BF55B3" w14:textId="77777777" w:rsidTr="00345119">
        <w:tc>
          <w:tcPr>
            <w:tcW w:w="9576" w:type="dxa"/>
            <w:noWrap/>
          </w:tcPr>
          <w:p w14:paraId="04D24C22" w14:textId="77777777" w:rsidR="008423E4" w:rsidRPr="0022177D" w:rsidRDefault="00156F39" w:rsidP="00984E2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14760FC" w14:textId="77777777" w:rsidR="008423E4" w:rsidRPr="0022177D" w:rsidRDefault="008423E4" w:rsidP="00984E2A">
      <w:pPr>
        <w:jc w:val="center"/>
      </w:pPr>
    </w:p>
    <w:p w14:paraId="3A607CCA" w14:textId="77777777" w:rsidR="008423E4" w:rsidRPr="00B31F0E" w:rsidRDefault="008423E4" w:rsidP="00984E2A"/>
    <w:p w14:paraId="22A011AC" w14:textId="77777777" w:rsidR="008423E4" w:rsidRPr="00742794" w:rsidRDefault="008423E4" w:rsidP="00984E2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5D87" w14:paraId="3E3B84E9" w14:textId="77777777" w:rsidTr="00345119">
        <w:tc>
          <w:tcPr>
            <w:tcW w:w="9576" w:type="dxa"/>
          </w:tcPr>
          <w:p w14:paraId="71D2C77A" w14:textId="77777777" w:rsidR="008423E4" w:rsidRPr="00861995" w:rsidRDefault="00156F39" w:rsidP="00984E2A">
            <w:pPr>
              <w:jc w:val="right"/>
            </w:pPr>
            <w:r>
              <w:t>C.S.S.B. 642</w:t>
            </w:r>
          </w:p>
        </w:tc>
      </w:tr>
      <w:tr w:rsidR="00DD5D87" w14:paraId="5DDCA667" w14:textId="77777777" w:rsidTr="00345119">
        <w:tc>
          <w:tcPr>
            <w:tcW w:w="9576" w:type="dxa"/>
          </w:tcPr>
          <w:p w14:paraId="0C66C693" w14:textId="77777777" w:rsidR="008423E4" w:rsidRPr="00861995" w:rsidRDefault="00156F39" w:rsidP="00984E2A">
            <w:pPr>
              <w:jc w:val="right"/>
            </w:pPr>
            <w:r>
              <w:t xml:space="preserve">By: </w:t>
            </w:r>
            <w:r w:rsidR="00B144EF">
              <w:t>West</w:t>
            </w:r>
          </w:p>
        </w:tc>
      </w:tr>
      <w:tr w:rsidR="00DD5D87" w14:paraId="1E8E9C25" w14:textId="77777777" w:rsidTr="00345119">
        <w:tc>
          <w:tcPr>
            <w:tcW w:w="9576" w:type="dxa"/>
          </w:tcPr>
          <w:p w14:paraId="74E8B5AD" w14:textId="77777777" w:rsidR="008423E4" w:rsidRPr="00861995" w:rsidRDefault="00156F39" w:rsidP="00984E2A">
            <w:pPr>
              <w:jc w:val="right"/>
            </w:pPr>
            <w:r>
              <w:t>Human Services</w:t>
            </w:r>
          </w:p>
        </w:tc>
      </w:tr>
      <w:tr w:rsidR="00DD5D87" w14:paraId="5350F236" w14:textId="77777777" w:rsidTr="00345119">
        <w:tc>
          <w:tcPr>
            <w:tcW w:w="9576" w:type="dxa"/>
          </w:tcPr>
          <w:p w14:paraId="6008F94D" w14:textId="77777777" w:rsidR="008423E4" w:rsidRDefault="00156F39" w:rsidP="00984E2A">
            <w:pPr>
              <w:jc w:val="right"/>
            </w:pPr>
            <w:r>
              <w:t>Committee Report (Substituted)</w:t>
            </w:r>
          </w:p>
        </w:tc>
      </w:tr>
    </w:tbl>
    <w:p w14:paraId="6368E964" w14:textId="77777777" w:rsidR="008423E4" w:rsidRDefault="008423E4" w:rsidP="00984E2A">
      <w:pPr>
        <w:tabs>
          <w:tab w:val="right" w:pos="9360"/>
        </w:tabs>
      </w:pPr>
    </w:p>
    <w:p w14:paraId="4ACE911F" w14:textId="77777777" w:rsidR="008423E4" w:rsidRDefault="008423E4" w:rsidP="00984E2A"/>
    <w:p w14:paraId="71A22C66" w14:textId="77777777" w:rsidR="008423E4" w:rsidRDefault="008423E4" w:rsidP="00984E2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5D87" w14:paraId="3CADB948" w14:textId="77777777" w:rsidTr="00345119">
        <w:tc>
          <w:tcPr>
            <w:tcW w:w="9576" w:type="dxa"/>
          </w:tcPr>
          <w:p w14:paraId="758E3299" w14:textId="77777777" w:rsidR="008423E4" w:rsidRPr="00A8133F" w:rsidRDefault="00156F39" w:rsidP="0098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380700" w14:textId="77777777" w:rsidR="008423E4" w:rsidRDefault="008423E4" w:rsidP="00984E2A"/>
          <w:p w14:paraId="43497458" w14:textId="1F5EFFCC" w:rsidR="00EE389E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relinquishment avoidance program is a joint endeavor between the Health and Human Services Commission (HHSC) and the Department of </w:t>
            </w:r>
            <w:r>
              <w:t>Family and Protective Services (DFPS). Th</w:t>
            </w:r>
            <w:r w:rsidR="00F75395">
              <w:t>e</w:t>
            </w:r>
            <w:r>
              <w:t xml:space="preserve"> program was designed as a funding mechanism to provide residential treatment to </w:t>
            </w:r>
            <w:r w:rsidR="005F786E">
              <w:t>children</w:t>
            </w:r>
            <w:r>
              <w:t xml:space="preserve"> discharged from a psychiatric hospital </w:t>
            </w:r>
            <w:r w:rsidR="005F786E">
              <w:t>who</w:t>
            </w:r>
            <w:r w:rsidR="00F75395" w:rsidRPr="005F786E">
              <w:t xml:space="preserve"> </w:t>
            </w:r>
            <w:r w:rsidR="005F786E">
              <w:t>are</w:t>
            </w:r>
            <w:r w:rsidR="00F75395">
              <w:t xml:space="preserve"> still in need of residential treatment services and deemed </w:t>
            </w:r>
            <w:r>
              <w:t>too dangerous to r</w:t>
            </w:r>
            <w:r>
              <w:t xml:space="preserve">eturn home. </w:t>
            </w:r>
          </w:p>
          <w:p w14:paraId="1BE61372" w14:textId="77777777" w:rsidR="00EE389E" w:rsidRDefault="00EE389E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F06A33" w14:textId="6CAF2DED" w:rsidR="00EE389E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Over the past seven years, </w:t>
            </w:r>
            <w:r w:rsidR="0003093D">
              <w:t xml:space="preserve">the program </w:t>
            </w:r>
            <w:r>
              <w:t>has enabled a number of children to access needed services</w:t>
            </w:r>
            <w:r w:rsidR="00F75395">
              <w:t>. H</w:t>
            </w:r>
            <w:r>
              <w:t>owever, problems have been identified related to the development and implementation of the program. Long wait times can prevent access to serv</w:t>
            </w:r>
            <w:r>
              <w:t xml:space="preserve">ices in times of crisis when they are needed most, and parents are reportedly hesitant to seek services through the program because the process currently requires </w:t>
            </w:r>
            <w:r w:rsidR="005F786E">
              <w:t xml:space="preserve">referrals to go through </w:t>
            </w:r>
            <w:r>
              <w:t xml:space="preserve">DFPS </w:t>
            </w:r>
            <w:r w:rsidR="005F786E">
              <w:t>and</w:t>
            </w:r>
            <w:r>
              <w:t xml:space="preserve"> an investigation of abuse or neglect</w:t>
            </w:r>
            <w:r w:rsidR="005F786E">
              <w:t xml:space="preserve"> to be conducted</w:t>
            </w:r>
            <w:r>
              <w:t xml:space="preserve">. </w:t>
            </w:r>
          </w:p>
          <w:p w14:paraId="75EF76B2" w14:textId="77777777" w:rsidR="00EE389E" w:rsidRDefault="00EE389E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ED2124" w14:textId="5CFA3C46" w:rsidR="008423E4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00647">
              <w:t xml:space="preserve">S.B. 642 seeks to address these </w:t>
            </w:r>
            <w:r w:rsidR="0003093D">
              <w:t>issues</w:t>
            </w:r>
            <w:r w:rsidR="00A00647">
              <w:t xml:space="preserve"> by </w:t>
            </w:r>
            <w:r w:rsidR="00EE389E">
              <w:t xml:space="preserve">authorizing a child to be referred directly to the relinquishment avoidance program by a local mental or behavioral health authority, specifying that a child abuse or neglect investigation may be required for program participation only if there is an allegation of abuse or neglect, and </w:t>
            </w:r>
            <w:r w:rsidR="00A00647">
              <w:t xml:space="preserve">requiring HHSC and DFPS to jointly adopt </w:t>
            </w:r>
            <w:r w:rsidR="00EE389E">
              <w:t xml:space="preserve">certain </w:t>
            </w:r>
            <w:r w:rsidR="00A00647">
              <w:t xml:space="preserve">guidance </w:t>
            </w:r>
            <w:r w:rsidR="00EE389E">
              <w:t>and protocols for</w:t>
            </w:r>
            <w:r w:rsidR="00A00647">
              <w:t xml:space="preserve"> the program</w:t>
            </w:r>
            <w:r w:rsidR="00EE389E">
              <w:t>, including emergency eligibility procedures for children at immediate risk of relinquishment</w:t>
            </w:r>
            <w:r w:rsidR="00A00647">
              <w:t>.</w:t>
            </w:r>
          </w:p>
          <w:p w14:paraId="1F1D28AA" w14:textId="77777777" w:rsidR="008423E4" w:rsidRPr="00E26B13" w:rsidRDefault="008423E4" w:rsidP="00984E2A">
            <w:pPr>
              <w:rPr>
                <w:b/>
              </w:rPr>
            </w:pPr>
          </w:p>
        </w:tc>
      </w:tr>
      <w:tr w:rsidR="00DD5D87" w14:paraId="39E55464" w14:textId="77777777" w:rsidTr="00345119">
        <w:tc>
          <w:tcPr>
            <w:tcW w:w="9576" w:type="dxa"/>
          </w:tcPr>
          <w:p w14:paraId="6FA9C97C" w14:textId="77777777" w:rsidR="0017725B" w:rsidRDefault="00156F39" w:rsidP="00984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A37B14" w14:textId="77777777" w:rsidR="0017725B" w:rsidRDefault="0017725B" w:rsidP="00984E2A">
            <w:pPr>
              <w:rPr>
                <w:b/>
                <w:u w:val="single"/>
              </w:rPr>
            </w:pPr>
          </w:p>
          <w:p w14:paraId="1DB590CC" w14:textId="77777777" w:rsidR="00B144EF" w:rsidRPr="00B144EF" w:rsidRDefault="00156F39" w:rsidP="00984E2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980B67A" w14:textId="77777777" w:rsidR="0017725B" w:rsidRPr="0017725B" w:rsidRDefault="0017725B" w:rsidP="00984E2A">
            <w:pPr>
              <w:rPr>
                <w:b/>
                <w:u w:val="single"/>
              </w:rPr>
            </w:pPr>
          </w:p>
        </w:tc>
      </w:tr>
      <w:tr w:rsidR="00DD5D87" w14:paraId="326F07B4" w14:textId="77777777" w:rsidTr="00345119">
        <w:tc>
          <w:tcPr>
            <w:tcW w:w="9576" w:type="dxa"/>
          </w:tcPr>
          <w:p w14:paraId="2DE353A6" w14:textId="77777777" w:rsidR="008423E4" w:rsidRPr="00A8133F" w:rsidRDefault="00156F39" w:rsidP="0098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0CE08C" w14:textId="77777777" w:rsidR="008423E4" w:rsidRDefault="008423E4" w:rsidP="00984E2A"/>
          <w:p w14:paraId="5A0F1B26" w14:textId="77777777" w:rsidR="00B144EF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09154CD" w14:textId="77777777" w:rsidR="008423E4" w:rsidRPr="00E21FDC" w:rsidRDefault="008423E4" w:rsidP="00984E2A">
            <w:pPr>
              <w:rPr>
                <w:b/>
              </w:rPr>
            </w:pPr>
          </w:p>
        </w:tc>
      </w:tr>
      <w:tr w:rsidR="00DD5D87" w14:paraId="000FCB46" w14:textId="77777777" w:rsidTr="00345119">
        <w:tc>
          <w:tcPr>
            <w:tcW w:w="9576" w:type="dxa"/>
          </w:tcPr>
          <w:p w14:paraId="688745F3" w14:textId="77777777" w:rsidR="008423E4" w:rsidRPr="00A8133F" w:rsidRDefault="00156F39" w:rsidP="0098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8937902" w14:textId="77777777" w:rsidR="008423E4" w:rsidRDefault="008423E4" w:rsidP="00984E2A"/>
          <w:p w14:paraId="3C9613A0" w14:textId="77777777" w:rsidR="009C36CD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</w:t>
            </w:r>
            <w:r>
              <w:t>642 amends the Family Code to prohibit the Health and Human Services Commission (HHSC) from requiring the Department of Family and Protective Services (DFPS) to</w:t>
            </w:r>
            <w:r w:rsidRPr="00B144EF">
              <w:t xml:space="preserve"> conduct a child abuse or neglect investigation before allowing a child to participate in the re</w:t>
            </w:r>
            <w:r w:rsidRPr="00B144EF">
              <w:t>linquishment avoidance program unless there is an allegation of abuse or neglect of the child.</w:t>
            </w:r>
            <w:r>
              <w:t xml:space="preserve"> The bill defines "relinquishment avoidance program" as </w:t>
            </w:r>
            <w:r w:rsidRPr="00B144EF">
              <w:t xml:space="preserve">the </w:t>
            </w:r>
            <w:r>
              <w:t xml:space="preserve">HHSC </w:t>
            </w:r>
            <w:r w:rsidRPr="00B144EF">
              <w:t>program that provides mental health services to a child with a severe emotional disturbance witho</w:t>
            </w:r>
            <w:r w:rsidRPr="00B144EF">
              <w:t>ut the child entering the</w:t>
            </w:r>
            <w:r>
              <w:t xml:space="preserve"> managing conservatorship of DFPS</w:t>
            </w:r>
            <w:r w:rsidRPr="00B144EF">
              <w:t>.</w:t>
            </w:r>
          </w:p>
          <w:p w14:paraId="647BA90E" w14:textId="77777777" w:rsidR="00B144EF" w:rsidRDefault="00B144EF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8ED7F0" w14:textId="6DBC4EAA" w:rsidR="009D7F40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642 authorizes a local mental or behavioral </w:t>
            </w:r>
            <w:r w:rsidRPr="00B144EF">
              <w:t xml:space="preserve">health authority </w:t>
            </w:r>
            <w:r>
              <w:t>to</w:t>
            </w:r>
            <w:r w:rsidRPr="00B144EF">
              <w:t xml:space="preserve"> refer a child directly to the relinquishment avoidance pro</w:t>
            </w:r>
            <w:r>
              <w:t>gram without first contacting DFPS</w:t>
            </w:r>
            <w:r w:rsidRPr="00B144EF">
              <w:t>.</w:t>
            </w:r>
            <w:r>
              <w:t xml:space="preserve"> The bill requires DFPS and H</w:t>
            </w:r>
            <w:r>
              <w:t xml:space="preserve">HSC </w:t>
            </w:r>
            <w:r w:rsidRPr="005F786E">
              <w:t>to</w:t>
            </w:r>
            <w:r w:rsidR="005F786E">
              <w:t xml:space="preserve"> </w:t>
            </w:r>
            <w:r w:rsidRPr="005F786E">
              <w:t>jointly adopt</w:t>
            </w:r>
            <w:r>
              <w:t xml:space="preserve"> comprehensive guidance for providers and families </w:t>
            </w:r>
            <w:r w:rsidRPr="00542649">
              <w:t>that describes</w:t>
            </w:r>
            <w:r w:rsidR="00725F9B">
              <w:t xml:space="preserve"> the following</w:t>
            </w:r>
            <w:r>
              <w:t>:</w:t>
            </w:r>
          </w:p>
          <w:p w14:paraId="0FFEFA1E" w14:textId="77777777" w:rsidR="009D7F40" w:rsidRDefault="00156F39" w:rsidP="00984E2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how to access services under the relinquishment avoidance program; and</w:t>
            </w:r>
          </w:p>
          <w:p w14:paraId="06A39FC0" w14:textId="4028114C" w:rsidR="009D7F40" w:rsidRDefault="00156F39" w:rsidP="00984E2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child's and family's rights when the child's parent or </w:t>
            </w:r>
            <w:r w:rsidRPr="005F786E">
              <w:t>legal guardian</w:t>
            </w:r>
            <w:r w:rsidR="00EE389E">
              <w:t xml:space="preserve"> </w:t>
            </w:r>
            <w:r>
              <w:t>relinquish</w:t>
            </w:r>
            <w:r>
              <w:t>es the child in order to obtain mental health services for the child or</w:t>
            </w:r>
            <w:r w:rsidR="00EE389E">
              <w:t xml:space="preserve"> </w:t>
            </w:r>
            <w:r>
              <w:t>accesses services under the relinquishment avoidance program;</w:t>
            </w:r>
          </w:p>
          <w:p w14:paraId="472D9544" w14:textId="4814C268" w:rsidR="009D7F40" w:rsidRDefault="00156F39" w:rsidP="00984E2A">
            <w:pPr>
              <w:pStyle w:val="Header"/>
              <w:spacing w:before="120" w:after="120"/>
              <w:jc w:val="both"/>
            </w:pPr>
            <w:r>
              <w:t xml:space="preserve">The bill requires DFPS and HHSC to publish the guidance on </w:t>
            </w:r>
            <w:r w:rsidR="005F786E">
              <w:t>their</w:t>
            </w:r>
            <w:r>
              <w:t xml:space="preserve"> website</w:t>
            </w:r>
            <w:r w:rsidR="005F786E">
              <w:t>s</w:t>
            </w:r>
            <w:r>
              <w:t xml:space="preserve"> and to make the guidance available to caseworker</w:t>
            </w:r>
            <w:r>
              <w:t>s and families with a child who has a severe emotional disturbance.</w:t>
            </w:r>
          </w:p>
          <w:p w14:paraId="3AC424E0" w14:textId="77777777" w:rsidR="00A00647" w:rsidRDefault="00A00647" w:rsidP="00984E2A">
            <w:pPr>
              <w:pStyle w:val="Header"/>
              <w:spacing w:before="120" w:after="120"/>
              <w:jc w:val="both"/>
            </w:pPr>
          </w:p>
          <w:p w14:paraId="056AA7BC" w14:textId="570A5D73" w:rsidR="00EE389E" w:rsidRDefault="00156F39" w:rsidP="00984E2A">
            <w:pPr>
              <w:pStyle w:val="Header"/>
              <w:spacing w:before="120" w:after="120"/>
              <w:jc w:val="both"/>
            </w:pPr>
            <w:r>
              <w:t xml:space="preserve">C.S.S.B. 642 requires DFPS and HHSC to jointly </w:t>
            </w:r>
            <w:r w:rsidRPr="00A00647">
              <w:t>adopt clear and concise protocols for families at risk of relinquishing a child for the sole purpose of accessing menta</w:t>
            </w:r>
            <w:r>
              <w:t>l health services for</w:t>
            </w:r>
            <w:r>
              <w:t xml:space="preserve"> the child. The protocols must do the following:</w:t>
            </w:r>
          </w:p>
          <w:p w14:paraId="3E22F383" w14:textId="09102C8C" w:rsidR="00EE389E" w:rsidRDefault="00156F39" w:rsidP="00984E2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E389E">
              <w:t>include procedures for determining eligibility for the relinquishment avoidance program, including emergency eligibility procedures for children who are at immediate risk of relinquishment;</w:t>
            </w:r>
          </w:p>
          <w:p w14:paraId="4C89A70A" w14:textId="220A7043" w:rsidR="00EE389E" w:rsidRDefault="00156F39" w:rsidP="00984E2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E389E">
              <w:t xml:space="preserve">include </w:t>
            </w:r>
            <w:r w:rsidRPr="00EE389E">
              <w:t>procedures for applying for the program;</w:t>
            </w:r>
          </w:p>
          <w:p w14:paraId="7604E28D" w14:textId="3CE324A7" w:rsidR="00EE389E" w:rsidRDefault="00156F39" w:rsidP="00984E2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E389E">
              <w:t>identify who will manage the case of a family eligible for the program;</w:t>
            </w:r>
          </w:p>
          <w:p w14:paraId="613F0EE0" w14:textId="63788099" w:rsidR="00EE389E" w:rsidRDefault="00156F39" w:rsidP="00984E2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E389E">
              <w:t>identify the funding and resources for the program; and</w:t>
            </w:r>
          </w:p>
          <w:p w14:paraId="6F383790" w14:textId="7D38B847" w:rsidR="00EE389E" w:rsidRDefault="00156F39" w:rsidP="00984E2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EE389E">
              <w:t>identify the role of each party involved in the program</w:t>
            </w:r>
            <w:r>
              <w:t>, including DFPS, HHSC, contract</w:t>
            </w:r>
            <w:r>
              <w:t xml:space="preserve">ed residential treatment centers, and local mental and behavioral health authorities. </w:t>
            </w:r>
          </w:p>
          <w:p w14:paraId="11C770AE" w14:textId="643C485E" w:rsidR="00B144EF" w:rsidRPr="009C36CD" w:rsidRDefault="00156F39" w:rsidP="00984E2A">
            <w:pPr>
              <w:pStyle w:val="Header"/>
              <w:spacing w:before="120" w:after="120"/>
              <w:jc w:val="both"/>
            </w:pPr>
            <w:r>
              <w:t>The bill requires DFPS and local mental and behavioral health authorities to follow the adopted protocols.</w:t>
            </w:r>
          </w:p>
          <w:p w14:paraId="2B3A8BBE" w14:textId="77777777" w:rsidR="008423E4" w:rsidRPr="00835628" w:rsidRDefault="008423E4" w:rsidP="00984E2A">
            <w:pPr>
              <w:rPr>
                <w:b/>
              </w:rPr>
            </w:pPr>
          </w:p>
        </w:tc>
      </w:tr>
      <w:tr w:rsidR="00DD5D87" w14:paraId="3C843CD4" w14:textId="77777777" w:rsidTr="00345119">
        <w:tc>
          <w:tcPr>
            <w:tcW w:w="9576" w:type="dxa"/>
          </w:tcPr>
          <w:p w14:paraId="78F5E856" w14:textId="77777777" w:rsidR="008423E4" w:rsidRPr="00A8133F" w:rsidRDefault="00156F39" w:rsidP="0098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DF1605" w14:textId="77777777" w:rsidR="008423E4" w:rsidRDefault="008423E4" w:rsidP="00984E2A"/>
          <w:p w14:paraId="655C78C8" w14:textId="77777777" w:rsidR="008423E4" w:rsidRPr="003624F2" w:rsidRDefault="00156F39" w:rsidP="0098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</w:t>
            </w:r>
            <w:r>
              <w:t>e the necessary vote, September 1, 2021.</w:t>
            </w:r>
          </w:p>
          <w:p w14:paraId="27928EFD" w14:textId="77777777" w:rsidR="008423E4" w:rsidRPr="00233FDB" w:rsidRDefault="008423E4" w:rsidP="00984E2A">
            <w:pPr>
              <w:rPr>
                <w:b/>
              </w:rPr>
            </w:pPr>
          </w:p>
        </w:tc>
      </w:tr>
      <w:tr w:rsidR="00DD5D87" w14:paraId="2C1B3795" w14:textId="77777777" w:rsidTr="00345119">
        <w:tc>
          <w:tcPr>
            <w:tcW w:w="9576" w:type="dxa"/>
          </w:tcPr>
          <w:p w14:paraId="5CDAD30F" w14:textId="04DEEA9E" w:rsidR="00AC7B0B" w:rsidRPr="006D338A" w:rsidRDefault="00156F39" w:rsidP="00984E2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F516760" w14:textId="77777777" w:rsidR="006A4D34" w:rsidRDefault="006A4D34" w:rsidP="00984E2A">
            <w:pPr>
              <w:jc w:val="both"/>
            </w:pPr>
          </w:p>
          <w:p w14:paraId="3AED09E9" w14:textId="76DB73F4" w:rsidR="00AC7B0B" w:rsidRPr="006A4D34" w:rsidRDefault="00156F39" w:rsidP="00984E2A">
            <w:pPr>
              <w:jc w:val="both"/>
            </w:pPr>
            <w:r>
              <w:t xml:space="preserve">While C.S.S.B. 642 may differ from the engrossed in minor or nonsubstantive ways, the following summarizes the substantial differences between the engrossed and </w:t>
            </w:r>
            <w:r>
              <w:t>committee substitute versions of the bill.</w:t>
            </w:r>
          </w:p>
          <w:p w14:paraId="59078D6E" w14:textId="77777777" w:rsidR="006A4D34" w:rsidRDefault="006A4D34" w:rsidP="00984E2A">
            <w:pPr>
              <w:jc w:val="both"/>
            </w:pPr>
          </w:p>
          <w:p w14:paraId="61F91804" w14:textId="7BEADDF7" w:rsidR="00B144EF" w:rsidRPr="00B144EF" w:rsidRDefault="00156F39" w:rsidP="00984E2A">
            <w:pPr>
              <w:jc w:val="both"/>
            </w:pPr>
            <w:r>
              <w:t>The substitute changes the bill's effective date from September 1, 2021,</w:t>
            </w:r>
            <w:r w:rsidR="00EE389E">
              <w:t xml:space="preserve"> as in the engrossed version,</w:t>
            </w:r>
            <w:r>
              <w:t xml:space="preserve"> to </w:t>
            </w:r>
            <w:r w:rsidRPr="00B144EF">
              <w:t>on passage or September 1, 2021, if the bill does not receive the necessary vote for immediate effect</w:t>
            </w:r>
            <w:r>
              <w:t>.</w:t>
            </w:r>
          </w:p>
        </w:tc>
      </w:tr>
      <w:tr w:rsidR="00DD5D87" w14:paraId="6F30BFD4" w14:textId="77777777" w:rsidTr="00345119">
        <w:tc>
          <w:tcPr>
            <w:tcW w:w="9576" w:type="dxa"/>
          </w:tcPr>
          <w:p w14:paraId="2B3018B6" w14:textId="77777777" w:rsidR="00B144EF" w:rsidRPr="009C1E9A" w:rsidRDefault="00B144EF" w:rsidP="00984E2A">
            <w:pPr>
              <w:rPr>
                <w:b/>
                <w:u w:val="single"/>
              </w:rPr>
            </w:pPr>
          </w:p>
        </w:tc>
      </w:tr>
      <w:tr w:rsidR="00DD5D87" w14:paraId="66D7CC71" w14:textId="77777777" w:rsidTr="00345119">
        <w:tc>
          <w:tcPr>
            <w:tcW w:w="9576" w:type="dxa"/>
          </w:tcPr>
          <w:p w14:paraId="3C3C0D52" w14:textId="77777777" w:rsidR="00B144EF" w:rsidRPr="00B144EF" w:rsidRDefault="00B144EF" w:rsidP="00984E2A">
            <w:pPr>
              <w:jc w:val="both"/>
            </w:pPr>
          </w:p>
        </w:tc>
      </w:tr>
    </w:tbl>
    <w:p w14:paraId="28E94BE7" w14:textId="77777777" w:rsidR="004108C3" w:rsidRPr="008423E4" w:rsidRDefault="004108C3" w:rsidP="00984E2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1C8B" w14:textId="77777777" w:rsidR="00000000" w:rsidRDefault="00156F39">
      <w:r>
        <w:separator/>
      </w:r>
    </w:p>
  </w:endnote>
  <w:endnote w:type="continuationSeparator" w:id="0">
    <w:p w14:paraId="44DE27ED" w14:textId="77777777" w:rsidR="00000000" w:rsidRDefault="001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602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5D87" w14:paraId="04C249F3" w14:textId="77777777" w:rsidTr="009C1E9A">
      <w:trPr>
        <w:cantSplit/>
      </w:trPr>
      <w:tc>
        <w:tcPr>
          <w:tcW w:w="0" w:type="pct"/>
        </w:tcPr>
        <w:p w14:paraId="7524C5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B202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14C9C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8D7C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E0F2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D87" w14:paraId="52911EBC" w14:textId="77777777" w:rsidTr="009C1E9A">
      <w:trPr>
        <w:cantSplit/>
      </w:trPr>
      <w:tc>
        <w:tcPr>
          <w:tcW w:w="0" w:type="pct"/>
        </w:tcPr>
        <w:p w14:paraId="2C9BA1C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9A3977" w14:textId="77777777" w:rsidR="00EC379B" w:rsidRPr="009C1E9A" w:rsidRDefault="00156F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25925</w:t>
          </w:r>
        </w:p>
      </w:tc>
      <w:tc>
        <w:tcPr>
          <w:tcW w:w="2453" w:type="pct"/>
        </w:tcPr>
        <w:p w14:paraId="5C9B72D4" w14:textId="27CCC124" w:rsidR="00EC379B" w:rsidRDefault="00156F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4E2A">
            <w:t>21.131.1554</w:t>
          </w:r>
          <w:r>
            <w:fldChar w:fldCharType="end"/>
          </w:r>
        </w:p>
      </w:tc>
    </w:tr>
    <w:tr w:rsidR="00DD5D87" w14:paraId="04A04C6F" w14:textId="77777777" w:rsidTr="009C1E9A">
      <w:trPr>
        <w:cantSplit/>
      </w:trPr>
      <w:tc>
        <w:tcPr>
          <w:tcW w:w="0" w:type="pct"/>
        </w:tcPr>
        <w:p w14:paraId="2454E5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F3F7E5" w14:textId="77777777" w:rsidR="00EC379B" w:rsidRPr="009C1E9A" w:rsidRDefault="00156F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24803</w:t>
          </w:r>
        </w:p>
      </w:tc>
      <w:tc>
        <w:tcPr>
          <w:tcW w:w="2453" w:type="pct"/>
        </w:tcPr>
        <w:p w14:paraId="1579FB1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3A24E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D87" w14:paraId="1DD33B2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A102BD" w14:textId="2C580E34" w:rsidR="00EC379B" w:rsidRDefault="00156F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4E2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F2B9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B8FEA8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A61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66CB" w14:textId="77777777" w:rsidR="00000000" w:rsidRDefault="00156F39">
      <w:r>
        <w:separator/>
      </w:r>
    </w:p>
  </w:footnote>
  <w:footnote w:type="continuationSeparator" w:id="0">
    <w:p w14:paraId="54192C63" w14:textId="77777777" w:rsidR="00000000" w:rsidRDefault="0015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1E8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4E2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D68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4F4"/>
    <w:multiLevelType w:val="hybridMultilevel"/>
    <w:tmpl w:val="9B8A91A2"/>
    <w:lvl w:ilvl="0" w:tplc="069A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2D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0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EC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1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9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8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0B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374F"/>
    <w:multiLevelType w:val="hybridMultilevel"/>
    <w:tmpl w:val="31226B12"/>
    <w:lvl w:ilvl="0" w:tplc="EA14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6D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0F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68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6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68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F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64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C7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93D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6F39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341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7FD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F68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649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86E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34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38A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F9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02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E2A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F40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647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42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B0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4E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AA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5D87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EBD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89E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B60"/>
    <w:rsid w:val="00F6514B"/>
    <w:rsid w:val="00F6587F"/>
    <w:rsid w:val="00F67981"/>
    <w:rsid w:val="00F706CA"/>
    <w:rsid w:val="00F70F8D"/>
    <w:rsid w:val="00F71C5A"/>
    <w:rsid w:val="00F733A4"/>
    <w:rsid w:val="00F75395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EEDD79-86D6-4BB2-A67C-9BD1610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06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6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4080</Characters>
  <Application>Microsoft Office Word</Application>
  <DocSecurity>4</DocSecurity>
  <Lines>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SB00642 (Committee Report (Substituted))</vt:lpstr>
    </vt:vector>
  </TitlesOfParts>
  <Company>State of Texas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25925</dc:subject>
  <dc:creator>State of Texas</dc:creator>
  <dc:description>SB 642 by West-(H)Human Services (Substitute Document Number: 87R 24803)</dc:description>
  <cp:lastModifiedBy>Damian Duarte</cp:lastModifiedBy>
  <cp:revision>2</cp:revision>
  <cp:lastPrinted>2003-11-26T17:21:00Z</cp:lastPrinted>
  <dcterms:created xsi:type="dcterms:W3CDTF">2021-05-12T22:30:00Z</dcterms:created>
  <dcterms:modified xsi:type="dcterms:W3CDTF">2021-05-12T22:30:00Z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21.131.1554</vt:lpwstr>
  </property>
</Properties>
</file>