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54" w:rsidRDefault="008C475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C6778BDDDB24A6DAFB2268D4D5EB28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C4754" w:rsidRPr="00585C31" w:rsidRDefault="008C4754" w:rsidP="000F1DF9">
      <w:pPr>
        <w:spacing w:after="0" w:line="240" w:lineRule="auto"/>
        <w:rPr>
          <w:rFonts w:cs="Times New Roman"/>
          <w:szCs w:val="24"/>
        </w:rPr>
      </w:pPr>
    </w:p>
    <w:p w:rsidR="008C4754" w:rsidRPr="00585C31" w:rsidRDefault="008C475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C4754" w:rsidTr="000F1DF9">
        <w:tc>
          <w:tcPr>
            <w:tcW w:w="2718" w:type="dxa"/>
          </w:tcPr>
          <w:p w:rsidR="008C4754" w:rsidRPr="005C2A78" w:rsidRDefault="008C475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8855C5C7FEA4A7F9B0323BBC92BDDB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C4754" w:rsidRPr="00FF6471" w:rsidRDefault="008C475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B92D57893884461923E6F32F3F4096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664</w:t>
                </w:r>
              </w:sdtContent>
            </w:sdt>
          </w:p>
        </w:tc>
      </w:tr>
      <w:tr w:rsidR="008C475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A944CAE2F55470DB609C31542BBF668"/>
            </w:placeholder>
          </w:sdtPr>
          <w:sdtContent>
            <w:tc>
              <w:tcPr>
                <w:tcW w:w="2718" w:type="dxa"/>
              </w:tcPr>
              <w:p w:rsidR="008C4754" w:rsidRPr="000F1DF9" w:rsidRDefault="008C475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87R2495 JRR-D</w:t>
                </w:r>
              </w:p>
            </w:tc>
          </w:sdtContent>
        </w:sdt>
        <w:tc>
          <w:tcPr>
            <w:tcW w:w="6858" w:type="dxa"/>
          </w:tcPr>
          <w:p w:rsidR="008C4754" w:rsidRPr="005C2A78" w:rsidRDefault="008C4754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C34149A1B4B4872A6E4ECC6D929960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8093C783BAB46BAB23E5044A3272A2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Powell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F82263C53664546BBFA8D9559379DD1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502E704BBFCA479D989E7FB86C6DA867"/>
                </w:placeholder>
                <w:showingPlcHdr/>
              </w:sdtPr>
              <w:sdtContent/>
            </w:sdt>
          </w:p>
        </w:tc>
      </w:tr>
      <w:tr w:rsidR="008C4754" w:rsidTr="000F1DF9">
        <w:tc>
          <w:tcPr>
            <w:tcW w:w="2718" w:type="dxa"/>
          </w:tcPr>
          <w:p w:rsidR="008C4754" w:rsidRPr="00BC7495" w:rsidRDefault="008C475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E91856359A045B992EDF2829942B2D9"/>
            </w:placeholder>
          </w:sdtPr>
          <w:sdtContent>
            <w:tc>
              <w:tcPr>
                <w:tcW w:w="6858" w:type="dxa"/>
              </w:tcPr>
              <w:p w:rsidR="008C4754" w:rsidRPr="00FF6471" w:rsidRDefault="008C475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8C4754" w:rsidTr="000F1DF9">
        <w:tc>
          <w:tcPr>
            <w:tcW w:w="2718" w:type="dxa"/>
          </w:tcPr>
          <w:p w:rsidR="008C4754" w:rsidRPr="00BC7495" w:rsidRDefault="008C475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B330B79D5D24B4A8427A09D2C88F86C"/>
            </w:placeholder>
            <w:date w:fullDate="2021-04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C4754" w:rsidRPr="00FF6471" w:rsidRDefault="008C475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4/6/2021</w:t>
                </w:r>
              </w:p>
            </w:tc>
          </w:sdtContent>
        </w:sdt>
      </w:tr>
      <w:tr w:rsidR="008C4754" w:rsidTr="000F1DF9">
        <w:tc>
          <w:tcPr>
            <w:tcW w:w="2718" w:type="dxa"/>
          </w:tcPr>
          <w:p w:rsidR="008C4754" w:rsidRPr="00BC7495" w:rsidRDefault="008C475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F6093D124F64E5686868F2D0A3B3E21"/>
            </w:placeholder>
          </w:sdtPr>
          <w:sdtContent>
            <w:tc>
              <w:tcPr>
                <w:tcW w:w="6858" w:type="dxa"/>
              </w:tcPr>
              <w:p w:rsidR="008C4754" w:rsidRPr="00FF6471" w:rsidRDefault="008C475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8C4754" w:rsidRPr="00FF6471" w:rsidRDefault="008C4754" w:rsidP="000F1DF9">
      <w:pPr>
        <w:spacing w:after="0" w:line="240" w:lineRule="auto"/>
        <w:rPr>
          <w:rFonts w:cs="Times New Roman"/>
          <w:szCs w:val="24"/>
        </w:rPr>
      </w:pPr>
    </w:p>
    <w:p w:rsidR="008C4754" w:rsidRPr="00FF6471" w:rsidRDefault="008C4754" w:rsidP="000F1DF9">
      <w:pPr>
        <w:spacing w:after="0" w:line="240" w:lineRule="auto"/>
        <w:rPr>
          <w:rFonts w:cs="Times New Roman"/>
          <w:szCs w:val="24"/>
        </w:rPr>
      </w:pPr>
    </w:p>
    <w:p w:rsidR="008C4754" w:rsidRPr="00FF6471" w:rsidRDefault="008C475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DB05BD8E7F94AC0BBC8027803930C60"/>
        </w:placeholder>
      </w:sdtPr>
      <w:sdtContent>
        <w:p w:rsidR="008C4754" w:rsidRDefault="008C475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9F910448AB94D8488D6F58BCAE7F9E9"/>
        </w:placeholder>
      </w:sdtPr>
      <w:sdtContent>
        <w:p w:rsidR="008C4754" w:rsidRDefault="008C4754" w:rsidP="008C4754">
          <w:pPr>
            <w:pStyle w:val="NormalWeb"/>
            <w:spacing w:before="0" w:beforeAutospacing="0" w:after="0" w:afterAutospacing="0"/>
            <w:jc w:val="both"/>
            <w:divId w:val="634221181"/>
            <w:rPr>
              <w:rFonts w:eastAsia="Times New Roman"/>
              <w:bCs/>
            </w:rPr>
          </w:pPr>
        </w:p>
        <w:p w:rsidR="008C4754" w:rsidRDefault="008C4754" w:rsidP="008C4754">
          <w:pPr>
            <w:pStyle w:val="NormalWeb"/>
            <w:spacing w:before="0" w:beforeAutospacing="0" w:after="0" w:afterAutospacing="0"/>
            <w:jc w:val="both"/>
            <w:divId w:val="634221181"/>
          </w:pPr>
          <w:r w:rsidRPr="002C71C0">
            <w:t xml:space="preserve">According to the Training Institute on Strangulation Prevention, up to </w:t>
          </w:r>
          <w:r>
            <w:t>68</w:t>
          </w:r>
          <w:r w:rsidRPr="002C71C0">
            <w:t xml:space="preserve"> percent of victims of intimate p</w:t>
          </w:r>
          <w:r>
            <w:t>artner violence experience near-</w:t>
          </w:r>
          <w:r w:rsidRPr="002C71C0">
            <w:t>fatal strangulation. Additionally,</w:t>
          </w:r>
          <w:r>
            <w:t xml:space="preserve"> odds for homicide increase 750 percent</w:t>
          </w:r>
          <w:r w:rsidRPr="002C71C0">
            <w:t xml:space="preserve"> for victims who have been strangled, compared to victims who have never been strangled. </w:t>
          </w:r>
        </w:p>
        <w:p w:rsidR="008C4754" w:rsidRPr="002C71C0" w:rsidRDefault="008C4754" w:rsidP="008C4754">
          <w:pPr>
            <w:pStyle w:val="NormalWeb"/>
            <w:spacing w:before="0" w:beforeAutospacing="0" w:after="0" w:afterAutospacing="0"/>
            <w:jc w:val="both"/>
            <w:divId w:val="634221181"/>
          </w:pPr>
        </w:p>
        <w:p w:rsidR="008C4754" w:rsidRDefault="008C4754" w:rsidP="008C4754">
          <w:pPr>
            <w:pStyle w:val="NormalWeb"/>
            <w:spacing w:before="0" w:beforeAutospacing="0" w:after="0" w:afterAutospacing="0"/>
            <w:jc w:val="both"/>
            <w:divId w:val="634221181"/>
          </w:pPr>
          <w:r w:rsidRPr="002C71C0">
            <w:t>Many victims of strangulation, even in fatal cases, do not exhibit serious or life-threatening injuries. Death can occur days or weeks after strangulation due to carotid artery dissection and respiratory complications. Comm</w:t>
          </w:r>
          <w:r>
            <w:t>on injuries resulting from near-</w:t>
          </w:r>
          <w:r w:rsidRPr="002C71C0">
            <w:t>fatal strangulation include traumatic brain injury, PTSD, depression, suicidal ideations, memory problems, nightmares, anxiety, severe stress reaction, amnesia</w:t>
          </w:r>
          <w:r>
            <w:t>,</w:t>
          </w:r>
          <w:r w:rsidRPr="002C71C0">
            <w:t xml:space="preserve"> and psychosis. Due to the fear of retribution from their abuser</w:t>
          </w:r>
          <w:r>
            <w:t>s</w:t>
          </w:r>
          <w:r w:rsidRPr="002C71C0">
            <w:t xml:space="preserve"> and minimization of their symptoms or injuries, victims of strangulation often decline medical assistance on the scene of incidents of intimate partner violence. </w:t>
          </w:r>
        </w:p>
        <w:p w:rsidR="008C4754" w:rsidRPr="002C71C0" w:rsidRDefault="008C4754" w:rsidP="008C4754">
          <w:pPr>
            <w:pStyle w:val="NormalWeb"/>
            <w:spacing w:before="0" w:beforeAutospacing="0" w:after="0" w:afterAutospacing="0"/>
            <w:jc w:val="both"/>
            <w:divId w:val="634221181"/>
          </w:pPr>
        </w:p>
        <w:p w:rsidR="008C4754" w:rsidRPr="002C71C0" w:rsidRDefault="008C4754" w:rsidP="008C4754">
          <w:pPr>
            <w:pStyle w:val="NormalWeb"/>
            <w:spacing w:before="0" w:beforeAutospacing="0" w:after="0" w:afterAutospacing="0"/>
            <w:jc w:val="both"/>
            <w:divId w:val="634221181"/>
          </w:pPr>
          <w:r w:rsidRPr="002C71C0">
            <w:t xml:space="preserve">Under </w:t>
          </w:r>
          <w:r>
            <w:t>S.B.</w:t>
          </w:r>
          <w:r w:rsidRPr="002C71C0">
            <w:t xml:space="preserve"> 664, a peace officer who responds to a call for services that involves an alleged or suspected incident of strangula</w:t>
          </w:r>
          <w:r>
            <w:t>tion would be required to: r</w:t>
          </w:r>
          <w:r w:rsidRPr="002C71C0">
            <w:t>equest assistance from emergency medical services personnel to evaluate and render aid to th</w:t>
          </w:r>
          <w:r>
            <w:t>e victim of strangulation; u</w:t>
          </w:r>
          <w:r w:rsidRPr="002C71C0">
            <w:t>tilize the strangulation checklist developed under</w:t>
          </w:r>
          <w:r>
            <w:t xml:space="preserve"> the Occupations Code; and p</w:t>
          </w:r>
          <w:r w:rsidRPr="002C71C0">
            <w:t>rovide the victim referral information for appropriate support agencies. </w:t>
          </w:r>
        </w:p>
        <w:p w:rsidR="008C4754" w:rsidRPr="00D70925" w:rsidRDefault="008C4754" w:rsidP="008C475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C4754" w:rsidRDefault="008C475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664 </w:t>
      </w:r>
      <w:bookmarkStart w:id="1" w:name="AmendsCurrentLaw"/>
      <w:bookmarkEnd w:id="1"/>
      <w:r>
        <w:rPr>
          <w:rFonts w:cs="Times New Roman"/>
          <w:szCs w:val="24"/>
        </w:rPr>
        <w:t>amends current law relating to procedures for peace officers and emergency medical services personnel who respond to calls involving an alleged or suspected act of strangulation.</w:t>
      </w:r>
    </w:p>
    <w:p w:rsidR="008C4754" w:rsidRPr="00536996" w:rsidRDefault="008C475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C4754" w:rsidRPr="005C2A78" w:rsidRDefault="008C475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9D929EFFE1C4A1FB67ACF8AC02DE9E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C4754" w:rsidRPr="006529C4" w:rsidRDefault="008C475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C4754" w:rsidRPr="006529C4" w:rsidRDefault="008C475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C4754" w:rsidRPr="006529C4" w:rsidRDefault="008C475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C4754" w:rsidRPr="005C2A78" w:rsidRDefault="008C475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1F6657D34154713B50E3729134A694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C4754" w:rsidRPr="005C2A78" w:rsidRDefault="008C475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C4754" w:rsidRDefault="008C4754" w:rsidP="008C4754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2, Code of Criminal Procedure, by adding Article 2.33, as follows: </w:t>
      </w:r>
    </w:p>
    <w:p w:rsidR="008C4754" w:rsidRDefault="008C4754" w:rsidP="008C4754">
      <w:pPr>
        <w:spacing w:line="240" w:lineRule="auto"/>
        <w:ind w:left="720"/>
        <w:jc w:val="both"/>
      </w:pPr>
      <w:r w:rsidRPr="00536996">
        <w:t>Art. 2.33.  PROCEDURES FOR RESPONDING TO CALLS INVOLVING ALLEGED OR SUSPECTED ACT OF STRANGULAT</w:t>
      </w:r>
      <w:r>
        <w:t>ION.  (a)  Defines "e</w:t>
      </w:r>
      <w:r w:rsidRPr="00536996">
        <w:t xml:space="preserve">mergency medical services personnel" </w:t>
      </w:r>
      <w:r>
        <w:t xml:space="preserve">and "strangulation." </w:t>
      </w:r>
    </w:p>
    <w:p w:rsidR="008C4754" w:rsidRPr="00536996" w:rsidRDefault="008C4754" w:rsidP="008C4754">
      <w:pPr>
        <w:spacing w:line="240" w:lineRule="auto"/>
        <w:ind w:left="1440" w:firstLine="60"/>
        <w:jc w:val="both"/>
      </w:pPr>
      <w:r w:rsidRPr="00536996">
        <w:t>(b)  </w:t>
      </w:r>
      <w:r>
        <w:t>Requires a</w:t>
      </w:r>
      <w:r w:rsidRPr="00536996">
        <w:t xml:space="preserve"> peace officer who responds to a call for service that involves an alleged or suspected act of strangulation</w:t>
      </w:r>
      <w:r>
        <w:t xml:space="preserve"> to:</w:t>
      </w:r>
    </w:p>
    <w:p w:rsidR="008C4754" w:rsidRPr="00536996" w:rsidRDefault="008C4754" w:rsidP="008C4754">
      <w:pPr>
        <w:spacing w:line="240" w:lineRule="auto"/>
        <w:ind w:left="2160"/>
        <w:jc w:val="both"/>
      </w:pPr>
      <w:r w:rsidRPr="00536996">
        <w:t>(1)  request assistance from emergency medical services personnel to evaluate and render aid to the victim of strangulation;</w:t>
      </w:r>
    </w:p>
    <w:p w:rsidR="008C4754" w:rsidRPr="00536996" w:rsidRDefault="008C4754" w:rsidP="008C4754">
      <w:pPr>
        <w:spacing w:line="240" w:lineRule="auto"/>
        <w:ind w:left="2160"/>
        <w:jc w:val="both"/>
      </w:pPr>
      <w:r w:rsidRPr="00536996">
        <w:t>(2)  use the checklist developed under Section 1701.165, Occupations Code, in providing appropr</w:t>
      </w:r>
      <w:r>
        <w:t xml:space="preserve">iate assistance to the victim; </w:t>
      </w:r>
      <w:r w:rsidRPr="00536996">
        <w:t>and</w:t>
      </w:r>
    </w:p>
    <w:p w:rsidR="008C4754" w:rsidRPr="00536996" w:rsidRDefault="008C4754" w:rsidP="008C4754">
      <w:pPr>
        <w:spacing w:line="240" w:lineRule="auto"/>
        <w:ind w:left="2160"/>
        <w:jc w:val="both"/>
      </w:pPr>
      <w:r w:rsidRPr="00536996">
        <w:t>(3)  provide the victim with referral information to the appropriate support agency for purposes of receiving additional assistance.</w:t>
      </w:r>
    </w:p>
    <w:p w:rsidR="008C4754" w:rsidRPr="00536996" w:rsidRDefault="008C4754" w:rsidP="008C4754">
      <w:pPr>
        <w:spacing w:line="240" w:lineRule="auto"/>
        <w:ind w:left="1440"/>
        <w:jc w:val="both"/>
      </w:pPr>
      <w:r w:rsidRPr="00536996">
        <w:t>(c)  </w:t>
      </w:r>
      <w:r>
        <w:t>Requires that the</w:t>
      </w:r>
      <w:r w:rsidRPr="00536996">
        <w:t xml:space="preserve"> peace officer's report regarding the incident thoroughly document the following:</w:t>
      </w:r>
    </w:p>
    <w:p w:rsidR="008C4754" w:rsidRPr="00536996" w:rsidRDefault="008C4754" w:rsidP="008C4754">
      <w:pPr>
        <w:spacing w:line="240" w:lineRule="auto"/>
        <w:ind w:left="2160"/>
        <w:jc w:val="both"/>
      </w:pPr>
      <w:r w:rsidRPr="00536996">
        <w:t>(1)  the name, identification number, employment agency, and unit number of all emergency medical services personnel providing assistance under Subsection (b);</w:t>
      </w:r>
    </w:p>
    <w:p w:rsidR="008C4754" w:rsidRPr="00536996" w:rsidRDefault="008C4754" w:rsidP="008C4754">
      <w:pPr>
        <w:spacing w:line="240" w:lineRule="auto"/>
        <w:ind w:left="2160"/>
        <w:jc w:val="both"/>
      </w:pPr>
      <w:r w:rsidRPr="00536996">
        <w:t>(2)  victim and witness accounts of the suspect's behavior, actions, and any comments made during the act of strangulation;</w:t>
      </w:r>
    </w:p>
    <w:p w:rsidR="008C4754" w:rsidRPr="00536996" w:rsidRDefault="008C4754" w:rsidP="008C4754">
      <w:pPr>
        <w:spacing w:line="240" w:lineRule="auto"/>
        <w:ind w:left="2160"/>
        <w:jc w:val="both"/>
      </w:pPr>
      <w:r w:rsidRPr="00536996">
        <w:t>(3)  the officer's observations regarding the suspect's behavior, actions, and any comments made after the officer's arrival on the scene; and</w:t>
      </w:r>
    </w:p>
    <w:p w:rsidR="008C4754" w:rsidRPr="00536996" w:rsidRDefault="008C4754" w:rsidP="008C4754">
      <w:pPr>
        <w:spacing w:line="240" w:lineRule="auto"/>
        <w:ind w:left="720" w:firstLine="1440"/>
        <w:jc w:val="both"/>
      </w:pPr>
      <w:r w:rsidRPr="00536996">
        <w:t>(4)  the referral information given to the victim under Subsection (b)(3).</w:t>
      </w:r>
    </w:p>
    <w:p w:rsidR="008C4754" w:rsidRPr="00536996" w:rsidRDefault="008C4754" w:rsidP="008C4754">
      <w:pPr>
        <w:spacing w:line="240" w:lineRule="auto"/>
        <w:ind w:left="1440"/>
        <w:jc w:val="both"/>
      </w:pPr>
      <w:r w:rsidRPr="00536996">
        <w:t>(d)  </w:t>
      </w:r>
      <w:r>
        <w:t>Requires the e</w:t>
      </w:r>
      <w:r w:rsidRPr="00536996">
        <w:t xml:space="preserve">mergency medical services personnel providing assistance under Subsection (b) </w:t>
      </w:r>
      <w:r>
        <w:t xml:space="preserve">to </w:t>
      </w:r>
      <w:r w:rsidRPr="00536996">
        <w:t>conduct a medical evaluation and assessment of the victim.</w:t>
      </w:r>
    </w:p>
    <w:p w:rsidR="008C4754" w:rsidRDefault="008C4754" w:rsidP="008C4754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Subchapter D, Chapter 1701, Occupations Code, by adding Section 1701.165, as follows:</w:t>
      </w:r>
    </w:p>
    <w:p w:rsidR="008C4754" w:rsidRPr="00536996" w:rsidRDefault="008C4754" w:rsidP="008C4754">
      <w:pPr>
        <w:spacing w:line="240" w:lineRule="auto"/>
        <w:ind w:left="720"/>
        <w:jc w:val="both"/>
      </w:pPr>
      <w:r w:rsidRPr="00536996">
        <w:t>Sec. 1701.165.  CHECKLIST FOR PEACE OFFICERS RESPONDING TO CALLS INVOLVING ALLEGED OR SUSPECTED ACT OF STRANGULATION.  (a</w:t>
      </w:r>
      <w:r>
        <w:t xml:space="preserve">) Defines "strangulation." </w:t>
      </w:r>
    </w:p>
    <w:p w:rsidR="008C4754" w:rsidRPr="00536996" w:rsidRDefault="008C4754" w:rsidP="008C4754">
      <w:pPr>
        <w:spacing w:line="240" w:lineRule="auto"/>
        <w:ind w:left="1440"/>
        <w:jc w:val="both"/>
      </w:pPr>
      <w:r>
        <w:t xml:space="preserve">(b)  Requires the Texas Commission on Law Enforcement (TCOLE) to </w:t>
      </w:r>
      <w:r w:rsidRPr="00536996">
        <w:t>develop and make available to all law enforcement agencies in this state a checklist to assist peace officers in evaluating an alleged or suspected act of strangulation and providing assistance to the victim of strangulation.</w:t>
      </w:r>
    </w:p>
    <w:p w:rsidR="008C4754" w:rsidRDefault="008C4754" w:rsidP="008C4754">
      <w:pPr>
        <w:spacing w:line="240" w:lineRule="auto"/>
        <w:jc w:val="both"/>
      </w:pPr>
      <w:r w:rsidRPr="005C2A78">
        <w:rPr>
          <w:rFonts w:eastAsia="Times New Roman" w:cs="Times New Roman"/>
          <w:szCs w:val="24"/>
        </w:rPr>
        <w:t xml:space="preserve">SECTION 3. </w:t>
      </w:r>
      <w:r>
        <w:t>(a)  Requires TCOLE to develop and make available the checklist required by Section 1701.165, Occupations Code, as added by this Act, not later than December 1, 2021.</w:t>
      </w:r>
    </w:p>
    <w:p w:rsidR="008C4754" w:rsidRDefault="008C4754" w:rsidP="008C4754">
      <w:pPr>
        <w:spacing w:line="240" w:lineRule="auto"/>
        <w:ind w:left="720"/>
        <w:jc w:val="both"/>
      </w:pPr>
      <w:r>
        <w:t>(b)  Provides that a peace officer is not required to comply with Article 2.33(b)(2), Code of Criminal Procedure, as added by this Act, until January 1, 2022.</w:t>
      </w:r>
    </w:p>
    <w:p w:rsidR="008C4754" w:rsidRDefault="008C4754" w:rsidP="008C4754">
      <w:pPr>
        <w:spacing w:line="240" w:lineRule="auto"/>
        <w:jc w:val="both"/>
      </w:pPr>
      <w:r>
        <w:t xml:space="preserve">SECTION 4. Effective date: September 1, 2021. </w:t>
      </w:r>
    </w:p>
    <w:p w:rsidR="008C4754" w:rsidRPr="00C8671F" w:rsidRDefault="008C4754" w:rsidP="00536996">
      <w:pPr>
        <w:spacing w:line="480" w:lineRule="auto"/>
        <w:jc w:val="both"/>
        <w:rPr>
          <w:rFonts w:eastAsia="Times New Roman" w:cs="Times New Roman"/>
          <w:szCs w:val="24"/>
        </w:rPr>
      </w:pPr>
    </w:p>
    <w:sectPr w:rsidR="008C4754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0F" w:rsidRDefault="0096250F" w:rsidP="000F1DF9">
      <w:pPr>
        <w:spacing w:after="0" w:line="240" w:lineRule="auto"/>
      </w:pPr>
      <w:r>
        <w:separator/>
      </w:r>
    </w:p>
  </w:endnote>
  <w:endnote w:type="continuationSeparator" w:id="0">
    <w:p w:rsidR="0096250F" w:rsidRDefault="0096250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6250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C4754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8C4754">
                <w:rPr>
                  <w:sz w:val="20"/>
                  <w:szCs w:val="20"/>
                </w:rPr>
                <w:t>S.B. 664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8C4754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6250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C475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C4754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0F" w:rsidRDefault="0096250F" w:rsidP="000F1DF9">
      <w:pPr>
        <w:spacing w:after="0" w:line="240" w:lineRule="auto"/>
      </w:pPr>
      <w:r>
        <w:separator/>
      </w:r>
    </w:p>
  </w:footnote>
  <w:footnote w:type="continuationSeparator" w:id="0">
    <w:p w:rsidR="0096250F" w:rsidRDefault="0096250F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C4754"/>
    <w:rsid w:val="0093341F"/>
    <w:rsid w:val="009562E3"/>
    <w:rsid w:val="0096250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F1F5F"/>
  <w15:docId w15:val="{40B07F84-BBAB-4515-8447-28FD8FD0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475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C6778BDDDB24A6DAFB2268D4D5E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BF1F-32FD-491F-861B-764FC9B7D3F8}"/>
      </w:docPartPr>
      <w:docPartBody>
        <w:p w:rsidR="00000000" w:rsidRDefault="00CB56CA"/>
      </w:docPartBody>
    </w:docPart>
    <w:docPart>
      <w:docPartPr>
        <w:name w:val="88855C5C7FEA4A7F9B0323BBC92BD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6E9F-4EE3-4859-A81B-386CB3103D2E}"/>
      </w:docPartPr>
      <w:docPartBody>
        <w:p w:rsidR="00000000" w:rsidRDefault="00CB56CA"/>
      </w:docPartBody>
    </w:docPart>
    <w:docPart>
      <w:docPartPr>
        <w:name w:val="CB92D57893884461923E6F32F3F4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74BC5-1BC6-4128-9ACD-0BCB768AF491}"/>
      </w:docPartPr>
      <w:docPartBody>
        <w:p w:rsidR="00000000" w:rsidRDefault="00CB56CA"/>
      </w:docPartBody>
    </w:docPart>
    <w:docPart>
      <w:docPartPr>
        <w:name w:val="DA944CAE2F55470DB609C31542BB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B6D0-278A-4A52-9DF3-80FB411A3FE4}"/>
      </w:docPartPr>
      <w:docPartBody>
        <w:p w:rsidR="00000000" w:rsidRDefault="00CB56CA"/>
      </w:docPartBody>
    </w:docPart>
    <w:docPart>
      <w:docPartPr>
        <w:name w:val="FC34149A1B4B4872A6E4ECC6D929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1FE08-16CC-4FFF-B9ED-E902E7D9E219}"/>
      </w:docPartPr>
      <w:docPartBody>
        <w:p w:rsidR="00000000" w:rsidRDefault="00CB56CA"/>
      </w:docPartBody>
    </w:docPart>
    <w:docPart>
      <w:docPartPr>
        <w:name w:val="88093C783BAB46BAB23E5044A327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8BF63-A2D6-4E93-9F00-1BAA08341CED}"/>
      </w:docPartPr>
      <w:docPartBody>
        <w:p w:rsidR="00000000" w:rsidRDefault="00CB56CA"/>
      </w:docPartBody>
    </w:docPart>
    <w:docPart>
      <w:docPartPr>
        <w:name w:val="0F82263C53664546BBFA8D955937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CE7F8-9B04-46B2-AEE1-C97EA0A6B625}"/>
      </w:docPartPr>
      <w:docPartBody>
        <w:p w:rsidR="00000000" w:rsidRDefault="00CB56CA"/>
      </w:docPartBody>
    </w:docPart>
    <w:docPart>
      <w:docPartPr>
        <w:name w:val="502E704BBFCA479D989E7FB86C6DA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FC90-8F5A-46AC-827C-AC70CC9281CA}"/>
      </w:docPartPr>
      <w:docPartBody>
        <w:p w:rsidR="00000000" w:rsidRDefault="00CB56CA"/>
      </w:docPartBody>
    </w:docPart>
    <w:docPart>
      <w:docPartPr>
        <w:name w:val="0E91856359A045B992EDF2829942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E56B-654E-4605-A503-8DA814496D6C}"/>
      </w:docPartPr>
      <w:docPartBody>
        <w:p w:rsidR="00000000" w:rsidRDefault="00CB56CA"/>
      </w:docPartBody>
    </w:docPart>
    <w:docPart>
      <w:docPartPr>
        <w:name w:val="DB330B79D5D24B4A8427A09D2C88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5583-091B-4255-AE8E-1F643AD694E2}"/>
      </w:docPartPr>
      <w:docPartBody>
        <w:p w:rsidR="00000000" w:rsidRDefault="00591D0D" w:rsidP="00591D0D">
          <w:pPr>
            <w:pStyle w:val="DB330B79D5D24B4A8427A09D2C88F86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F6093D124F64E5686868F2D0A3B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D2FC-1C79-4C9E-AEC2-D761D734825E}"/>
      </w:docPartPr>
      <w:docPartBody>
        <w:p w:rsidR="00000000" w:rsidRDefault="00CB56CA"/>
      </w:docPartBody>
    </w:docPart>
    <w:docPart>
      <w:docPartPr>
        <w:name w:val="6DB05BD8E7F94AC0BBC802780393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00F5E-A793-4147-9F1A-C0EA95E087A0}"/>
      </w:docPartPr>
      <w:docPartBody>
        <w:p w:rsidR="00000000" w:rsidRDefault="00CB56CA"/>
      </w:docPartBody>
    </w:docPart>
    <w:docPart>
      <w:docPartPr>
        <w:name w:val="09F910448AB94D8488D6F58BCAE7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1A14-C649-4ED7-80C8-38ED9D5834A5}"/>
      </w:docPartPr>
      <w:docPartBody>
        <w:p w:rsidR="00000000" w:rsidRDefault="00591D0D" w:rsidP="00591D0D">
          <w:pPr>
            <w:pStyle w:val="09F910448AB94D8488D6F58BCAE7F9E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9D929EFFE1C4A1FB67ACF8AC02D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D9DA-461F-4663-BF98-F561D2391451}"/>
      </w:docPartPr>
      <w:docPartBody>
        <w:p w:rsidR="00000000" w:rsidRDefault="00CB56CA"/>
      </w:docPartBody>
    </w:docPart>
    <w:docPart>
      <w:docPartPr>
        <w:name w:val="F1F6657D34154713B50E3729134A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84C60-9825-4788-90CA-AA2CE2DB7882}"/>
      </w:docPartPr>
      <w:docPartBody>
        <w:p w:rsidR="00000000" w:rsidRDefault="00CB56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91D0D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B56C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D0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B330B79D5D24B4A8427A09D2C88F86C">
    <w:name w:val="DB330B79D5D24B4A8427A09D2C88F86C"/>
    <w:rsid w:val="00591D0D"/>
    <w:pPr>
      <w:spacing w:after="160" w:line="259" w:lineRule="auto"/>
    </w:pPr>
  </w:style>
  <w:style w:type="paragraph" w:customStyle="1" w:styleId="09F910448AB94D8488D6F58BCAE7F9E9">
    <w:name w:val="09F910448AB94D8488D6F58BCAE7F9E9"/>
    <w:rsid w:val="00591D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4D1EDDA-332F-4980-A049-B614DE09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</Pages>
  <Words>658</Words>
  <Characters>3756</Characters>
  <Application>Microsoft Office Word</Application>
  <DocSecurity>0</DocSecurity>
  <Lines>31</Lines>
  <Paragraphs>8</Paragraphs>
  <ScaleCrop>false</ScaleCrop>
  <Company>Texas Legislative Council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cp:lastPrinted>2021-04-06T16:40:00Z</cp:lastPrinted>
  <dcterms:created xsi:type="dcterms:W3CDTF">2015-05-29T14:24:00Z</dcterms:created>
  <dcterms:modified xsi:type="dcterms:W3CDTF">2021-04-06T16:41:00Z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