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9382C" w14:paraId="5259093D" w14:textId="77777777" w:rsidTr="00345119">
        <w:tc>
          <w:tcPr>
            <w:tcW w:w="9576" w:type="dxa"/>
            <w:noWrap/>
          </w:tcPr>
          <w:p w14:paraId="3B79FFD9" w14:textId="418AB810" w:rsidR="008423E4" w:rsidRPr="0022177D" w:rsidRDefault="00B0223D" w:rsidP="00F22BEA">
            <w:pPr>
              <w:pStyle w:val="Heading1"/>
            </w:pPr>
            <w:bookmarkStart w:id="0" w:name="_GoBack"/>
            <w:bookmarkEnd w:id="0"/>
            <w:r>
              <w:t xml:space="preserve"> </w:t>
            </w:r>
            <w:r w:rsidRPr="00631897">
              <w:t>BILL ANALYSIS</w:t>
            </w:r>
          </w:p>
        </w:tc>
      </w:tr>
    </w:tbl>
    <w:p w14:paraId="3CC44818" w14:textId="77777777" w:rsidR="008423E4" w:rsidRPr="0022177D" w:rsidRDefault="008423E4" w:rsidP="00F22BEA">
      <w:pPr>
        <w:jc w:val="center"/>
      </w:pPr>
    </w:p>
    <w:p w14:paraId="510E9FE1" w14:textId="77777777" w:rsidR="008423E4" w:rsidRPr="00B31F0E" w:rsidRDefault="008423E4" w:rsidP="00F22BEA"/>
    <w:p w14:paraId="39184871" w14:textId="77777777" w:rsidR="008423E4" w:rsidRPr="00742794" w:rsidRDefault="008423E4" w:rsidP="00F22BEA">
      <w:pPr>
        <w:tabs>
          <w:tab w:val="right" w:pos="9360"/>
        </w:tabs>
      </w:pPr>
    </w:p>
    <w:tbl>
      <w:tblPr>
        <w:tblW w:w="0" w:type="auto"/>
        <w:tblLayout w:type="fixed"/>
        <w:tblLook w:val="01E0" w:firstRow="1" w:lastRow="1" w:firstColumn="1" w:lastColumn="1" w:noHBand="0" w:noVBand="0"/>
      </w:tblPr>
      <w:tblGrid>
        <w:gridCol w:w="9576"/>
      </w:tblGrid>
      <w:tr w:rsidR="00F9382C" w14:paraId="563D36CA" w14:textId="77777777" w:rsidTr="00345119">
        <w:tc>
          <w:tcPr>
            <w:tcW w:w="9576" w:type="dxa"/>
          </w:tcPr>
          <w:p w14:paraId="739FD863" w14:textId="32DCED4C" w:rsidR="008423E4" w:rsidRPr="00861995" w:rsidRDefault="00B0223D" w:rsidP="00F22BEA">
            <w:pPr>
              <w:jc w:val="right"/>
            </w:pPr>
            <w:r>
              <w:t>C.S.S.B. 696</w:t>
            </w:r>
          </w:p>
        </w:tc>
      </w:tr>
      <w:tr w:rsidR="00F9382C" w14:paraId="11F37D9F" w14:textId="77777777" w:rsidTr="00345119">
        <w:tc>
          <w:tcPr>
            <w:tcW w:w="9576" w:type="dxa"/>
          </w:tcPr>
          <w:p w14:paraId="056BC1B9" w14:textId="06FBD215" w:rsidR="008423E4" w:rsidRPr="00861995" w:rsidRDefault="00B0223D" w:rsidP="00F22BEA">
            <w:pPr>
              <w:jc w:val="right"/>
            </w:pPr>
            <w:r>
              <w:t xml:space="preserve">By: </w:t>
            </w:r>
            <w:r w:rsidR="00265511">
              <w:t>Zaffirini</w:t>
            </w:r>
          </w:p>
        </w:tc>
      </w:tr>
      <w:tr w:rsidR="00F9382C" w14:paraId="04FA41E2" w14:textId="77777777" w:rsidTr="00345119">
        <w:tc>
          <w:tcPr>
            <w:tcW w:w="9576" w:type="dxa"/>
          </w:tcPr>
          <w:p w14:paraId="45270511" w14:textId="1AA43BC2" w:rsidR="008423E4" w:rsidRPr="00861995" w:rsidRDefault="00B0223D" w:rsidP="00F22BEA">
            <w:pPr>
              <w:jc w:val="right"/>
            </w:pPr>
            <w:r>
              <w:t>Ways &amp; Means</w:t>
            </w:r>
          </w:p>
        </w:tc>
      </w:tr>
      <w:tr w:rsidR="00F9382C" w14:paraId="0EC5AD2A" w14:textId="77777777" w:rsidTr="00345119">
        <w:tc>
          <w:tcPr>
            <w:tcW w:w="9576" w:type="dxa"/>
          </w:tcPr>
          <w:p w14:paraId="0FBE3360" w14:textId="14EB8A5F" w:rsidR="008423E4" w:rsidRDefault="00B0223D" w:rsidP="00F22BEA">
            <w:pPr>
              <w:jc w:val="right"/>
            </w:pPr>
            <w:r>
              <w:t>Committee Report (Substituted)</w:t>
            </w:r>
          </w:p>
        </w:tc>
      </w:tr>
    </w:tbl>
    <w:p w14:paraId="5090DC14" w14:textId="77777777" w:rsidR="008423E4" w:rsidRDefault="008423E4" w:rsidP="00F22BEA">
      <w:pPr>
        <w:tabs>
          <w:tab w:val="right" w:pos="9360"/>
        </w:tabs>
      </w:pPr>
    </w:p>
    <w:p w14:paraId="6057D177" w14:textId="77777777" w:rsidR="008423E4" w:rsidRDefault="008423E4" w:rsidP="00F22BEA"/>
    <w:p w14:paraId="240BB925" w14:textId="77777777" w:rsidR="008423E4" w:rsidRDefault="008423E4" w:rsidP="00F22BEA"/>
    <w:tbl>
      <w:tblPr>
        <w:tblW w:w="0" w:type="auto"/>
        <w:tblCellMar>
          <w:left w:w="115" w:type="dxa"/>
          <w:right w:w="115" w:type="dxa"/>
        </w:tblCellMar>
        <w:tblLook w:val="01E0" w:firstRow="1" w:lastRow="1" w:firstColumn="1" w:lastColumn="1" w:noHBand="0" w:noVBand="0"/>
      </w:tblPr>
      <w:tblGrid>
        <w:gridCol w:w="9360"/>
      </w:tblGrid>
      <w:tr w:rsidR="00F9382C" w14:paraId="12387B43" w14:textId="77777777" w:rsidTr="00345119">
        <w:tc>
          <w:tcPr>
            <w:tcW w:w="9576" w:type="dxa"/>
          </w:tcPr>
          <w:p w14:paraId="70CA7E08" w14:textId="77777777" w:rsidR="008423E4" w:rsidRPr="00A8133F" w:rsidRDefault="00B0223D" w:rsidP="00F22BEA">
            <w:pPr>
              <w:rPr>
                <w:b/>
              </w:rPr>
            </w:pPr>
            <w:r w:rsidRPr="009C1E9A">
              <w:rPr>
                <w:b/>
                <w:u w:val="single"/>
              </w:rPr>
              <w:t>BACKGROUND AND PURPOSE</w:t>
            </w:r>
            <w:r>
              <w:rPr>
                <w:b/>
              </w:rPr>
              <w:t xml:space="preserve"> </w:t>
            </w:r>
          </w:p>
          <w:p w14:paraId="2351DE96" w14:textId="77777777" w:rsidR="008423E4" w:rsidRDefault="008423E4" w:rsidP="00F22BEA"/>
          <w:p w14:paraId="16D4E6B4" w14:textId="6E8D9414" w:rsidR="008423E4" w:rsidRDefault="00B0223D" w:rsidP="00F22BEA">
            <w:pPr>
              <w:pStyle w:val="Header"/>
              <w:jc w:val="both"/>
            </w:pPr>
            <w:r w:rsidRPr="00496A61">
              <w:t>There have been suggestions for changes to certain authorizations regarding the imposition, rate, and use of hotel occupancy taxes in</w:t>
            </w:r>
            <w:r w:rsidRPr="00496A61">
              <w:t xml:space="preserve"> certain counties and municipalities.</w:t>
            </w:r>
            <w:r>
              <w:t xml:space="preserve"> </w:t>
            </w:r>
            <w:r w:rsidR="005F1DBD">
              <w:t xml:space="preserve">Atascosa County is home to the City of Poteet, which boasts the title of the official "Strawberry Capital of Texas" and for more than 70 years has hosted the famous Poteet </w:t>
            </w:r>
            <w:r w:rsidR="00112B8B">
              <w:t>S</w:t>
            </w:r>
            <w:r w:rsidR="005F1DBD">
              <w:t xml:space="preserve">trawberry </w:t>
            </w:r>
            <w:r w:rsidR="00112B8B">
              <w:t>F</w:t>
            </w:r>
            <w:r w:rsidR="005F1DBD">
              <w:t xml:space="preserve">estival. However, Atascosa County has far more to offer than just </w:t>
            </w:r>
            <w:r w:rsidR="001F6DFC">
              <w:t xml:space="preserve">strawberries </w:t>
            </w:r>
            <w:r w:rsidR="005F1DBD">
              <w:t>and has seen increasing tourism in recent years. It has been suggested that if the county constructed a civic center with an arena used for rodeos, livestock shows, and agricultural expositions, the county would see an even greater expansion of tourism and substantially enhance hotel activity</w:t>
            </w:r>
            <w:r w:rsidR="00C27C7C">
              <w:t xml:space="preserve"> in the county. </w:t>
            </w:r>
            <w:r w:rsidR="00FB6617">
              <w:t>C.S.S.B.</w:t>
            </w:r>
            <w:r w:rsidR="00112B8B">
              <w:t> </w:t>
            </w:r>
            <w:r w:rsidR="00FB6617">
              <w:t>696</w:t>
            </w:r>
            <w:r w:rsidR="00C27C7C">
              <w:t xml:space="preserve"> seeks to authorize the county to impose a </w:t>
            </w:r>
            <w:r w:rsidR="00F5434A">
              <w:t xml:space="preserve">two </w:t>
            </w:r>
            <w:r w:rsidR="00C27C7C">
              <w:t>percent hotel occupancy tax to fund the construction of a civic center.</w:t>
            </w:r>
          </w:p>
          <w:p w14:paraId="63412653" w14:textId="52E2B657" w:rsidR="00FB6617" w:rsidRDefault="00FB6617" w:rsidP="00F22BEA">
            <w:pPr>
              <w:pStyle w:val="Header"/>
              <w:jc w:val="both"/>
            </w:pPr>
          </w:p>
          <w:p w14:paraId="5E7A0411" w14:textId="40949BBF" w:rsidR="00FB6617" w:rsidRDefault="00B0223D" w:rsidP="00F22BEA">
            <w:pPr>
              <w:pStyle w:val="Header"/>
              <w:jc w:val="both"/>
            </w:pPr>
            <w:r>
              <w:t xml:space="preserve">Additionally, it has been </w:t>
            </w:r>
            <w:r>
              <w:t>noted that several counties authorized to impose a county hotel occupancy tax are prohibited from imposing the tax in relation to hotels that are also subject to a municipal hotel occupancy tax. It has been suggested that this prohibition negatively impact</w:t>
            </w:r>
            <w:r>
              <w:t>s Maverick County, which is looking to make certain repairs and improvements to county infrastructure. C.S.S.B. 696 seeks to address this issue by allowing the county to impose its hotel occupancy tax on hotels currently subject to a municipal hotel occupa</w:t>
            </w:r>
            <w:r>
              <w:t>ncy tax and by authorizing the use</w:t>
            </w:r>
            <w:r w:rsidR="00112B8B">
              <w:t xml:space="preserve"> of</w:t>
            </w:r>
            <w:r>
              <w:t xml:space="preserve"> revenue from that tax to fund repairs and improvements to the county airport.</w:t>
            </w:r>
          </w:p>
          <w:p w14:paraId="172556B9" w14:textId="345C09BB" w:rsidR="003D600A" w:rsidRDefault="003D600A" w:rsidP="00F22BEA">
            <w:pPr>
              <w:pStyle w:val="Header"/>
              <w:jc w:val="both"/>
            </w:pPr>
          </w:p>
          <w:p w14:paraId="49EE07A0" w14:textId="726C0BB8" w:rsidR="003D600A" w:rsidRDefault="00B0223D" w:rsidP="00F22BEA">
            <w:pPr>
              <w:pStyle w:val="Header"/>
              <w:jc w:val="both"/>
            </w:pPr>
            <w:r>
              <w:t>Further, state law allows municipalities that meet certain geographic and population requirements to use revenue collected from the municip</w:t>
            </w:r>
            <w:r>
              <w:t>al hotel occupancy tax for the promotion and preservation of dark skies. There have been calls to extend this authority to additional municipalities and even certain border counties. Additionally, it has been suggested that the manner in which the cap on t</w:t>
            </w:r>
            <w:r>
              <w:t xml:space="preserve">he amount of that revenue is calculated is too restrictive and should be revised. C.S.S.B. 696 seeks to revise the manner in which that cap is calculated and to extend the authorization to use hotel occupancy tax revenue for the promotion and preservation </w:t>
            </w:r>
            <w:r>
              <w:t>of dark skies to additional municipalities and counties.</w:t>
            </w:r>
          </w:p>
          <w:p w14:paraId="00A34270" w14:textId="77777777" w:rsidR="008423E4" w:rsidRPr="00E26B13" w:rsidRDefault="008423E4" w:rsidP="00F22BEA">
            <w:pPr>
              <w:rPr>
                <w:b/>
              </w:rPr>
            </w:pPr>
          </w:p>
        </w:tc>
      </w:tr>
      <w:tr w:rsidR="00F9382C" w14:paraId="22600EA7" w14:textId="77777777" w:rsidTr="00345119">
        <w:tc>
          <w:tcPr>
            <w:tcW w:w="9576" w:type="dxa"/>
          </w:tcPr>
          <w:p w14:paraId="1BDD7224" w14:textId="77777777" w:rsidR="0017725B" w:rsidRDefault="00B0223D" w:rsidP="00F22BEA">
            <w:pPr>
              <w:rPr>
                <w:b/>
                <w:u w:val="single"/>
              </w:rPr>
            </w:pPr>
            <w:r>
              <w:rPr>
                <w:b/>
                <w:u w:val="single"/>
              </w:rPr>
              <w:t>CRIMINAL JUSTICE IMPACT</w:t>
            </w:r>
          </w:p>
          <w:p w14:paraId="197081EB" w14:textId="77777777" w:rsidR="0017725B" w:rsidRDefault="0017725B" w:rsidP="00F22BEA">
            <w:pPr>
              <w:rPr>
                <w:b/>
                <w:u w:val="single"/>
              </w:rPr>
            </w:pPr>
          </w:p>
          <w:p w14:paraId="0C34E45C" w14:textId="77777777" w:rsidR="00681DC4" w:rsidRPr="00681DC4" w:rsidRDefault="00B0223D" w:rsidP="00F22BEA">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14:paraId="6429604B" w14:textId="77777777" w:rsidR="0017725B" w:rsidRPr="0017725B" w:rsidRDefault="0017725B" w:rsidP="00F22BEA">
            <w:pPr>
              <w:rPr>
                <w:b/>
                <w:u w:val="single"/>
              </w:rPr>
            </w:pPr>
          </w:p>
        </w:tc>
      </w:tr>
      <w:tr w:rsidR="00F9382C" w14:paraId="1EECA2C4" w14:textId="77777777" w:rsidTr="00345119">
        <w:tc>
          <w:tcPr>
            <w:tcW w:w="9576" w:type="dxa"/>
          </w:tcPr>
          <w:p w14:paraId="5A1EDFF4" w14:textId="77777777" w:rsidR="008423E4" w:rsidRPr="00A8133F" w:rsidRDefault="00B0223D" w:rsidP="00F22BEA">
            <w:pPr>
              <w:rPr>
                <w:b/>
              </w:rPr>
            </w:pPr>
            <w:r w:rsidRPr="009C1E9A">
              <w:rPr>
                <w:b/>
                <w:u w:val="single"/>
              </w:rPr>
              <w:t>RULEMAKING AUTHORITY</w:t>
            </w:r>
            <w:r>
              <w:rPr>
                <w:b/>
              </w:rPr>
              <w:t xml:space="preserve"> </w:t>
            </w:r>
          </w:p>
          <w:p w14:paraId="6D8271D3" w14:textId="77777777" w:rsidR="008423E4" w:rsidRDefault="008423E4" w:rsidP="00F22BEA"/>
          <w:p w14:paraId="405591DB" w14:textId="77777777" w:rsidR="00681DC4" w:rsidRDefault="00B0223D" w:rsidP="00F22BEA">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2DC94F1C" w14:textId="77777777" w:rsidR="008423E4" w:rsidRPr="00E21FDC" w:rsidRDefault="008423E4" w:rsidP="00F22BEA">
            <w:pPr>
              <w:rPr>
                <w:b/>
              </w:rPr>
            </w:pPr>
          </w:p>
        </w:tc>
      </w:tr>
      <w:tr w:rsidR="00F9382C" w14:paraId="5340770E" w14:textId="77777777" w:rsidTr="00345119">
        <w:tc>
          <w:tcPr>
            <w:tcW w:w="9576" w:type="dxa"/>
          </w:tcPr>
          <w:p w14:paraId="772CF884" w14:textId="77777777" w:rsidR="008423E4" w:rsidRPr="00A8133F" w:rsidRDefault="00B0223D" w:rsidP="00F22BEA">
            <w:pPr>
              <w:rPr>
                <w:b/>
              </w:rPr>
            </w:pPr>
            <w:r w:rsidRPr="009C1E9A">
              <w:rPr>
                <w:b/>
                <w:u w:val="single"/>
              </w:rPr>
              <w:t>ANALYSIS</w:t>
            </w:r>
            <w:r>
              <w:rPr>
                <w:b/>
              </w:rPr>
              <w:t xml:space="preserve"> </w:t>
            </w:r>
          </w:p>
          <w:p w14:paraId="1346CC74" w14:textId="77777777" w:rsidR="008423E4" w:rsidRDefault="008423E4" w:rsidP="00F22BEA"/>
          <w:p w14:paraId="3197C381" w14:textId="5FD966D8" w:rsidR="00B615D4" w:rsidRDefault="00B0223D" w:rsidP="00F22BEA">
            <w:pPr>
              <w:pStyle w:val="Header"/>
              <w:tabs>
                <w:tab w:val="clear" w:pos="4320"/>
                <w:tab w:val="clear" w:pos="8640"/>
              </w:tabs>
              <w:jc w:val="both"/>
            </w:pPr>
            <w:r>
              <w:t>C.S.S.B. 696</w:t>
            </w:r>
            <w:r w:rsidR="00681DC4">
              <w:t xml:space="preserve"> amends the Tax Code to </w:t>
            </w:r>
            <w:r>
              <w:t xml:space="preserve">establish provisions </w:t>
            </w:r>
            <w:r w:rsidRPr="00B615D4">
              <w:t>relating to the hotel occupancy tax imposed by certain counties and the use of revenue from that tax</w:t>
            </w:r>
            <w:r>
              <w:t xml:space="preserve"> as provided below.</w:t>
            </w:r>
          </w:p>
          <w:p w14:paraId="3A08690A" w14:textId="2FC993BD" w:rsidR="00B615D4" w:rsidRDefault="00B615D4" w:rsidP="00F22BEA">
            <w:pPr>
              <w:pStyle w:val="Header"/>
              <w:tabs>
                <w:tab w:val="clear" w:pos="4320"/>
                <w:tab w:val="clear" w:pos="8640"/>
              </w:tabs>
              <w:jc w:val="both"/>
            </w:pPr>
          </w:p>
          <w:p w14:paraId="63357800" w14:textId="6B4C6036" w:rsidR="00B615D4" w:rsidRPr="00B615D4" w:rsidRDefault="00B0223D" w:rsidP="00F22BEA">
            <w:pPr>
              <w:pStyle w:val="Header"/>
              <w:tabs>
                <w:tab w:val="clear" w:pos="4320"/>
                <w:tab w:val="clear" w:pos="8640"/>
              </w:tabs>
              <w:jc w:val="both"/>
              <w:rPr>
                <w:b/>
              </w:rPr>
            </w:pPr>
            <w:r>
              <w:rPr>
                <w:b/>
              </w:rPr>
              <w:t>Qualifying Civic Centers</w:t>
            </w:r>
          </w:p>
          <w:p w14:paraId="598475D4" w14:textId="77777777" w:rsidR="00B615D4" w:rsidRDefault="00B615D4" w:rsidP="00F22BEA">
            <w:pPr>
              <w:pStyle w:val="Header"/>
              <w:tabs>
                <w:tab w:val="clear" w:pos="4320"/>
                <w:tab w:val="clear" w:pos="8640"/>
              </w:tabs>
              <w:jc w:val="both"/>
            </w:pPr>
          </w:p>
          <w:p w14:paraId="1E1E3238" w14:textId="71D70F5B" w:rsidR="009C36CD" w:rsidRDefault="00B0223D" w:rsidP="00F22BEA">
            <w:pPr>
              <w:pStyle w:val="Header"/>
              <w:tabs>
                <w:tab w:val="clear" w:pos="4320"/>
                <w:tab w:val="clear" w:pos="8640"/>
              </w:tabs>
              <w:jc w:val="both"/>
            </w:pPr>
            <w:r>
              <w:t>C.S</w:t>
            </w:r>
            <w:r>
              <w:t xml:space="preserve">.S.B. 696 </w:t>
            </w:r>
            <w:r w:rsidR="00681DC4">
              <w:t>authorize</w:t>
            </w:r>
            <w:r>
              <w:t>s</w:t>
            </w:r>
            <w:r w:rsidR="00681DC4">
              <w:t xml:space="preserve"> t</w:t>
            </w:r>
            <w:r w:rsidR="00681DC4" w:rsidRPr="00681DC4">
              <w:t xml:space="preserve">he commissioners court of a county with a population of less than 60,000 in which an annual strawberry festival is held in a location that is not the county seat </w:t>
            </w:r>
            <w:r w:rsidR="00681DC4">
              <w:t xml:space="preserve">to </w:t>
            </w:r>
            <w:r w:rsidR="00681DC4" w:rsidRPr="00681DC4">
              <w:t xml:space="preserve">impose a </w:t>
            </w:r>
            <w:r w:rsidR="00681DC4">
              <w:t xml:space="preserve">county hotel occupancy </w:t>
            </w:r>
            <w:r w:rsidR="00681DC4" w:rsidRPr="00681DC4">
              <w:t>tax</w:t>
            </w:r>
            <w:r w:rsidR="00681DC4">
              <w:t xml:space="preserve"> at a rate capped at two percent of the price paid for a hotel room. The bill restricts the use of revenue from that tax </w:t>
            </w:r>
            <w:r w:rsidR="00681DC4" w:rsidRPr="00681DC4">
              <w:t>t</w:t>
            </w:r>
            <w:r w:rsidR="00681DC4">
              <w:t>o t</w:t>
            </w:r>
            <w:r w:rsidR="00681DC4" w:rsidRPr="00681DC4">
              <w:t>he construction, enlarging, equipping, improvement, maintenance, repairing, and operation of a civic center with an arena used for rodeos, livestock shows, and agricultural expositions to substantially enhance hotel activity and encourage tourism</w:t>
            </w:r>
            <w:r w:rsidR="00681DC4">
              <w:t>.</w:t>
            </w:r>
          </w:p>
          <w:p w14:paraId="30A8B719" w14:textId="7973BA59" w:rsidR="00B615D4" w:rsidRDefault="00B615D4" w:rsidP="00F22BEA">
            <w:pPr>
              <w:pStyle w:val="Header"/>
              <w:tabs>
                <w:tab w:val="clear" w:pos="4320"/>
                <w:tab w:val="clear" w:pos="8640"/>
              </w:tabs>
              <w:jc w:val="both"/>
            </w:pPr>
          </w:p>
          <w:p w14:paraId="67C0EAEE" w14:textId="04B5FDE2" w:rsidR="00B615D4" w:rsidRPr="00B615D4" w:rsidRDefault="00B0223D" w:rsidP="00F22BEA">
            <w:pPr>
              <w:pStyle w:val="Header"/>
              <w:tabs>
                <w:tab w:val="clear" w:pos="4320"/>
                <w:tab w:val="clear" w:pos="8640"/>
              </w:tabs>
              <w:jc w:val="both"/>
              <w:rPr>
                <w:b/>
              </w:rPr>
            </w:pPr>
            <w:r>
              <w:rPr>
                <w:b/>
              </w:rPr>
              <w:t>Repairs and Improvements to County Airports</w:t>
            </w:r>
          </w:p>
          <w:p w14:paraId="65001ACE" w14:textId="09770902" w:rsidR="00E5143B" w:rsidRDefault="00E5143B" w:rsidP="00F22BEA">
            <w:pPr>
              <w:pStyle w:val="Header"/>
              <w:tabs>
                <w:tab w:val="clear" w:pos="4320"/>
                <w:tab w:val="clear" w:pos="8640"/>
              </w:tabs>
              <w:jc w:val="both"/>
            </w:pPr>
          </w:p>
          <w:p w14:paraId="4A7D0D86" w14:textId="77777777" w:rsidR="008E4C78" w:rsidRDefault="00B0223D" w:rsidP="00F22BEA">
            <w:pPr>
              <w:pStyle w:val="Header"/>
              <w:tabs>
                <w:tab w:val="clear" w:pos="4320"/>
                <w:tab w:val="clear" w:pos="8640"/>
              </w:tabs>
              <w:jc w:val="both"/>
            </w:pPr>
            <w:r>
              <w:t>C.S.S.B. 696 does the following with respect to the hotel occupancy tax imposed by a county in which an Indian reservation unde</w:t>
            </w:r>
            <w:r>
              <w:t>r jurisdiction of the U.S. government is located:</w:t>
            </w:r>
          </w:p>
          <w:p w14:paraId="56F85CBD" w14:textId="4876A38C" w:rsidR="008E4C78" w:rsidRDefault="00B0223D" w:rsidP="00F22BEA">
            <w:pPr>
              <w:pStyle w:val="Header"/>
              <w:numPr>
                <w:ilvl w:val="0"/>
                <w:numId w:val="3"/>
              </w:numPr>
              <w:tabs>
                <w:tab w:val="clear" w:pos="4320"/>
                <w:tab w:val="clear" w:pos="8640"/>
              </w:tabs>
              <w:jc w:val="both"/>
            </w:pPr>
            <w:r>
              <w:t>caps the rate of the tax at two percent of the price paid for a hotel room;</w:t>
            </w:r>
          </w:p>
          <w:p w14:paraId="655657F8" w14:textId="64A26697" w:rsidR="008E4C78" w:rsidRDefault="00B0223D" w:rsidP="00F22BEA">
            <w:pPr>
              <w:pStyle w:val="Header"/>
              <w:numPr>
                <w:ilvl w:val="0"/>
                <w:numId w:val="3"/>
              </w:numPr>
              <w:tabs>
                <w:tab w:val="clear" w:pos="4320"/>
                <w:tab w:val="clear" w:pos="8640"/>
              </w:tabs>
              <w:jc w:val="both"/>
            </w:pPr>
            <w:r>
              <w:t>removes the prohibition against such a county imposing that tax in a municipality that imposes its own municipal hotel occupancy t</w:t>
            </w:r>
            <w:r>
              <w:t>ax;</w:t>
            </w:r>
          </w:p>
          <w:p w14:paraId="36A157B6" w14:textId="0A6D1B70" w:rsidR="00E5143B" w:rsidRDefault="00B0223D" w:rsidP="00F22BEA">
            <w:pPr>
              <w:pStyle w:val="Header"/>
              <w:numPr>
                <w:ilvl w:val="0"/>
                <w:numId w:val="3"/>
              </w:numPr>
              <w:tabs>
                <w:tab w:val="clear" w:pos="4320"/>
                <w:tab w:val="clear" w:pos="8640"/>
              </w:tabs>
              <w:jc w:val="both"/>
            </w:pPr>
            <w:r>
              <w:t>authorizes the county to use revenue from the tax to mak</w:t>
            </w:r>
            <w:r w:rsidR="00575C04">
              <w:t>e</w:t>
            </w:r>
            <w:r>
              <w:t xml:space="preserve"> or provid</w:t>
            </w:r>
            <w:r w:rsidR="00575C04">
              <w:t>e</w:t>
            </w:r>
            <w:r>
              <w:t xml:space="preserve"> reimbursement for repairs and improvements to the county airport</w:t>
            </w:r>
            <w:r w:rsidR="00575C04">
              <w:t xml:space="preserve"> within a 10-year window; and</w:t>
            </w:r>
          </w:p>
          <w:p w14:paraId="08165CBF" w14:textId="51866712" w:rsidR="00575C04" w:rsidRDefault="00B0223D" w:rsidP="00F22BEA">
            <w:pPr>
              <w:pStyle w:val="Header"/>
              <w:numPr>
                <w:ilvl w:val="0"/>
                <w:numId w:val="3"/>
              </w:numPr>
              <w:tabs>
                <w:tab w:val="clear" w:pos="4320"/>
                <w:tab w:val="clear" w:pos="8640"/>
              </w:tabs>
              <w:jc w:val="both"/>
            </w:pPr>
            <w:r>
              <w:t>caps the total amount of the revenue used for that purpose at an</w:t>
            </w:r>
            <w:r w:rsidRPr="00575C04">
              <w:t xml:space="preserve"> amount that would exceed</w:t>
            </w:r>
            <w:r w:rsidRPr="00575C04">
              <w:t xml:space="preserve"> the amount of hotel revenue in the county that is likely to be reasonably attributable to guests traveling through the airport during the 15-year period beginning on the date the county first uses the tax revenue for that purpose</w:t>
            </w:r>
            <w:r>
              <w:t>.</w:t>
            </w:r>
          </w:p>
          <w:p w14:paraId="08E6DB94" w14:textId="10D4D078" w:rsidR="00B85790" w:rsidRDefault="00B85790" w:rsidP="00F22BEA">
            <w:pPr>
              <w:pStyle w:val="Header"/>
              <w:tabs>
                <w:tab w:val="clear" w:pos="4320"/>
                <w:tab w:val="clear" w:pos="8640"/>
              </w:tabs>
              <w:jc w:val="both"/>
            </w:pPr>
          </w:p>
          <w:p w14:paraId="4F4E528D" w14:textId="5940BD2D" w:rsidR="00B615D4" w:rsidRPr="00B615D4" w:rsidRDefault="00B0223D" w:rsidP="00F22BEA">
            <w:pPr>
              <w:pStyle w:val="Header"/>
              <w:tabs>
                <w:tab w:val="clear" w:pos="4320"/>
                <w:tab w:val="clear" w:pos="8640"/>
              </w:tabs>
              <w:jc w:val="both"/>
              <w:rPr>
                <w:b/>
              </w:rPr>
            </w:pPr>
            <w:r>
              <w:rPr>
                <w:b/>
              </w:rPr>
              <w:t xml:space="preserve">Promotion and </w:t>
            </w:r>
            <w:r>
              <w:rPr>
                <w:b/>
              </w:rPr>
              <w:t>Preservation of Dark Skies</w:t>
            </w:r>
          </w:p>
          <w:p w14:paraId="12B68500" w14:textId="77777777" w:rsidR="00B615D4" w:rsidRDefault="00B615D4" w:rsidP="00F22BEA">
            <w:pPr>
              <w:pStyle w:val="Header"/>
              <w:tabs>
                <w:tab w:val="clear" w:pos="4320"/>
                <w:tab w:val="clear" w:pos="8640"/>
              </w:tabs>
              <w:jc w:val="both"/>
            </w:pPr>
          </w:p>
          <w:p w14:paraId="0BBC2599" w14:textId="57C4B145" w:rsidR="00B85790" w:rsidRDefault="00B0223D" w:rsidP="00F22BEA">
            <w:pPr>
              <w:pStyle w:val="Header"/>
              <w:tabs>
                <w:tab w:val="clear" w:pos="4320"/>
                <w:tab w:val="clear" w:pos="8640"/>
              </w:tabs>
              <w:jc w:val="both"/>
            </w:pPr>
            <w:r>
              <w:t>C.S.S.B. 696 include</w:t>
            </w:r>
            <w:r w:rsidR="00934442">
              <w:t>s</w:t>
            </w:r>
            <w:r>
              <w:t xml:space="preserve"> the following </w:t>
            </w:r>
            <w:r w:rsidR="00B615D4">
              <w:t xml:space="preserve">municipalities </w:t>
            </w:r>
            <w:r>
              <w:t xml:space="preserve">among </w:t>
            </w:r>
            <w:r w:rsidR="00B615D4">
              <w:t>those</w:t>
            </w:r>
            <w:r>
              <w:t xml:space="preserve"> that may use revenue from the municipal hotel occupancy tax for the promotion and preservation of dark skies:</w:t>
            </w:r>
          </w:p>
          <w:p w14:paraId="5771AB1E" w14:textId="77777777" w:rsidR="00B85790" w:rsidRDefault="00B0223D" w:rsidP="00F22BEA">
            <w:pPr>
              <w:pStyle w:val="Header"/>
              <w:numPr>
                <w:ilvl w:val="0"/>
                <w:numId w:val="1"/>
              </w:numPr>
              <w:tabs>
                <w:tab w:val="clear" w:pos="4320"/>
                <w:tab w:val="clear" w:pos="8640"/>
              </w:tabs>
              <w:jc w:val="both"/>
            </w:pPr>
            <w:r>
              <w:t>a municipality located in a county with a total area of</w:t>
            </w:r>
            <w:r>
              <w:t xml:space="preserve"> more than 6,000 square miles; and</w:t>
            </w:r>
          </w:p>
          <w:p w14:paraId="7A2B9C44" w14:textId="77777777" w:rsidR="00B85790" w:rsidRDefault="00B0223D" w:rsidP="00F22BEA">
            <w:pPr>
              <w:pStyle w:val="Header"/>
              <w:numPr>
                <w:ilvl w:val="0"/>
                <w:numId w:val="1"/>
              </w:numPr>
              <w:tabs>
                <w:tab w:val="clear" w:pos="4320"/>
                <w:tab w:val="clear" w:pos="8640"/>
              </w:tabs>
              <w:jc w:val="both"/>
            </w:pPr>
            <w:r>
              <w:t xml:space="preserve">a municipality located in a county with a total area of more than 3,850 square miles but less than 4,000 square miles. </w:t>
            </w:r>
          </w:p>
          <w:p w14:paraId="17807FDA" w14:textId="77777777" w:rsidR="00B85790" w:rsidRDefault="00B0223D" w:rsidP="00F22BEA">
            <w:pPr>
              <w:pStyle w:val="Header"/>
              <w:tabs>
                <w:tab w:val="clear" w:pos="4320"/>
                <w:tab w:val="clear" w:pos="8640"/>
              </w:tabs>
              <w:jc w:val="both"/>
            </w:pPr>
            <w:r>
              <w:t>The bill changes the manner in which the cap on the amount of that revenue the municipality may use f</w:t>
            </w:r>
            <w:r>
              <w:t>or those purposes is determined from a cap based on a determination of the amount of area hotel revenue attributable to dark skies-related events and activities for five years after the date the municipality first uses the revenue for the promotion and pre</w:t>
            </w:r>
            <w:r>
              <w:t xml:space="preserve">servation of dark skies to a cap based on a good-faith estimate of the annual amount of area hotel revenue attributable to these events and activities, based on reasonable documentation. </w:t>
            </w:r>
          </w:p>
          <w:p w14:paraId="6FAB557A" w14:textId="77777777" w:rsidR="00B85790" w:rsidRDefault="00B85790" w:rsidP="00F22BEA">
            <w:pPr>
              <w:pStyle w:val="Header"/>
              <w:tabs>
                <w:tab w:val="clear" w:pos="4320"/>
                <w:tab w:val="clear" w:pos="8640"/>
              </w:tabs>
              <w:jc w:val="both"/>
            </w:pPr>
          </w:p>
          <w:p w14:paraId="6D8945AC" w14:textId="1A56EFF0" w:rsidR="00B85790" w:rsidRDefault="00B0223D" w:rsidP="00F22BEA">
            <w:pPr>
              <w:pStyle w:val="Header"/>
              <w:tabs>
                <w:tab w:val="clear" w:pos="4320"/>
                <w:tab w:val="clear" w:pos="8640"/>
              </w:tabs>
              <w:jc w:val="both"/>
            </w:pPr>
            <w:r>
              <w:t>C.S.S.B. 696 prohibits a municipality that uses municipal hotel occ</w:t>
            </w:r>
            <w:r>
              <w:t>upancy tax revenue to preserve and promote dark skies from reducing the percentage of revenue from that tax allocated for advertising and conducting solicitations and promotional programs to attract tourists and convention delegates or registrants to the m</w:t>
            </w:r>
            <w:r>
              <w:t>unicipality or its vicinity to a percentage that is less than the average percentage allocated for those purposes during the 36-month period preceding the date the municipality begins using revenue for the preservation and promotion of dark skies.</w:t>
            </w:r>
          </w:p>
          <w:p w14:paraId="143F8190" w14:textId="3D4324BA" w:rsidR="00B85790" w:rsidRDefault="00B85790" w:rsidP="00F22BEA">
            <w:pPr>
              <w:pStyle w:val="Header"/>
              <w:tabs>
                <w:tab w:val="clear" w:pos="4320"/>
                <w:tab w:val="clear" w:pos="8640"/>
              </w:tabs>
              <w:jc w:val="both"/>
            </w:pPr>
          </w:p>
          <w:p w14:paraId="10FA9F25" w14:textId="16C2488B" w:rsidR="00B85790" w:rsidRDefault="00B0223D" w:rsidP="00F22BEA">
            <w:pPr>
              <w:pStyle w:val="Header"/>
              <w:tabs>
                <w:tab w:val="clear" w:pos="4320"/>
                <w:tab w:val="clear" w:pos="8640"/>
              </w:tabs>
              <w:jc w:val="both"/>
            </w:pPr>
            <w:r>
              <w:t>C.S.S.B</w:t>
            </w:r>
            <w:r>
              <w:t xml:space="preserve">. 696 authorizes the following counties to use revenue from the county hotel occupancy </w:t>
            </w:r>
            <w:r w:rsidR="00A51D87">
              <w:t xml:space="preserve">tax </w:t>
            </w:r>
            <w:r>
              <w:t>for the promotion and preservation of dark skies on the same basis and to the same extent as an applicable municipality:</w:t>
            </w:r>
          </w:p>
          <w:p w14:paraId="1391AF92" w14:textId="77777777" w:rsidR="00B85790" w:rsidRDefault="00B0223D" w:rsidP="00F22BEA">
            <w:pPr>
              <w:pStyle w:val="Header"/>
              <w:numPr>
                <w:ilvl w:val="0"/>
                <w:numId w:val="2"/>
              </w:numPr>
              <w:tabs>
                <w:tab w:val="clear" w:pos="4320"/>
                <w:tab w:val="clear" w:pos="8640"/>
              </w:tabs>
              <w:jc w:val="both"/>
            </w:pPr>
            <w:r>
              <w:t>a county that borders the United Mexican Sta</w:t>
            </w:r>
            <w:r>
              <w:t>tes and in which there is located a national park of more than 400,000 acres; and</w:t>
            </w:r>
          </w:p>
          <w:p w14:paraId="09607923" w14:textId="77777777" w:rsidR="00B85790" w:rsidRDefault="00B0223D" w:rsidP="00F22BEA">
            <w:pPr>
              <w:pStyle w:val="Header"/>
              <w:numPr>
                <w:ilvl w:val="0"/>
                <w:numId w:val="2"/>
              </w:numPr>
              <w:tabs>
                <w:tab w:val="clear" w:pos="4320"/>
                <w:tab w:val="clear" w:pos="8640"/>
              </w:tabs>
              <w:jc w:val="both"/>
            </w:pPr>
            <w:r>
              <w:t>a county with a population of less than 5,000 that borders the United Mexican States and in which there is located a major observatory.</w:t>
            </w:r>
          </w:p>
          <w:p w14:paraId="710DF300" w14:textId="77777777" w:rsidR="00B85790" w:rsidRDefault="00B85790" w:rsidP="00F22BEA">
            <w:pPr>
              <w:pStyle w:val="Header"/>
              <w:tabs>
                <w:tab w:val="clear" w:pos="4320"/>
                <w:tab w:val="clear" w:pos="8640"/>
              </w:tabs>
              <w:jc w:val="both"/>
            </w:pPr>
          </w:p>
          <w:p w14:paraId="53E4C05F" w14:textId="790B32E3" w:rsidR="00B85790" w:rsidRPr="009C36CD" w:rsidRDefault="00B0223D" w:rsidP="00F22BEA">
            <w:pPr>
              <w:pStyle w:val="Header"/>
              <w:tabs>
                <w:tab w:val="clear" w:pos="4320"/>
                <w:tab w:val="clear" w:pos="8640"/>
              </w:tabs>
              <w:jc w:val="both"/>
            </w:pPr>
            <w:r>
              <w:t>C.S.S.B. 696 repeals Section 351.1035</w:t>
            </w:r>
            <w:r>
              <w:t xml:space="preserve">, Tax Code, which </w:t>
            </w:r>
            <w:r w:rsidR="00FB6617">
              <w:t>establishes a restrictive structure governing</w:t>
            </w:r>
            <w:r>
              <w:t xml:space="preserve"> the allocation of the municipal hotel occupancy tax revenue collected by the largest municipality in a county that borders the United Mexican States and in which there is located a national pa</w:t>
            </w:r>
            <w:r>
              <w:t xml:space="preserve">rk of more than 400,000 acres </w:t>
            </w:r>
            <w:r w:rsidR="00FB6617">
              <w:t>for</w:t>
            </w:r>
            <w:r>
              <w:t xml:space="preserve"> certain purposes.</w:t>
            </w:r>
          </w:p>
          <w:p w14:paraId="07794B0A" w14:textId="77777777" w:rsidR="008423E4" w:rsidRPr="00835628" w:rsidRDefault="008423E4" w:rsidP="00F22BEA">
            <w:pPr>
              <w:rPr>
                <w:b/>
              </w:rPr>
            </w:pPr>
          </w:p>
        </w:tc>
      </w:tr>
      <w:tr w:rsidR="00F9382C" w14:paraId="077DD2A5" w14:textId="77777777" w:rsidTr="00345119">
        <w:tc>
          <w:tcPr>
            <w:tcW w:w="9576" w:type="dxa"/>
          </w:tcPr>
          <w:p w14:paraId="6B24254E" w14:textId="77777777" w:rsidR="008423E4" w:rsidRPr="00A8133F" w:rsidRDefault="00B0223D" w:rsidP="00F22BEA">
            <w:pPr>
              <w:rPr>
                <w:b/>
              </w:rPr>
            </w:pPr>
            <w:r w:rsidRPr="009C1E9A">
              <w:rPr>
                <w:b/>
                <w:u w:val="single"/>
              </w:rPr>
              <w:t>EFFECTIVE DATE</w:t>
            </w:r>
            <w:r>
              <w:rPr>
                <w:b/>
              </w:rPr>
              <w:t xml:space="preserve"> </w:t>
            </w:r>
          </w:p>
          <w:p w14:paraId="64B81DA4" w14:textId="77777777" w:rsidR="008423E4" w:rsidRDefault="008423E4" w:rsidP="00F22BEA"/>
          <w:p w14:paraId="0656039C" w14:textId="77777777" w:rsidR="008423E4" w:rsidRPr="003624F2" w:rsidRDefault="00B0223D" w:rsidP="00F22BEA">
            <w:pPr>
              <w:pStyle w:val="Header"/>
              <w:tabs>
                <w:tab w:val="clear" w:pos="4320"/>
                <w:tab w:val="clear" w:pos="8640"/>
              </w:tabs>
              <w:jc w:val="both"/>
            </w:pPr>
            <w:r>
              <w:t>September 1, 2021.</w:t>
            </w:r>
          </w:p>
          <w:p w14:paraId="2CD521C8" w14:textId="77777777" w:rsidR="008423E4" w:rsidRPr="00233FDB" w:rsidRDefault="008423E4" w:rsidP="00F22BEA">
            <w:pPr>
              <w:rPr>
                <w:b/>
              </w:rPr>
            </w:pPr>
          </w:p>
        </w:tc>
      </w:tr>
      <w:tr w:rsidR="00F9382C" w14:paraId="47408D0B" w14:textId="77777777" w:rsidTr="00345119">
        <w:tc>
          <w:tcPr>
            <w:tcW w:w="9576" w:type="dxa"/>
          </w:tcPr>
          <w:p w14:paraId="0199361D" w14:textId="77777777" w:rsidR="00265511" w:rsidRDefault="00B0223D" w:rsidP="00F22BEA">
            <w:pPr>
              <w:jc w:val="both"/>
              <w:rPr>
                <w:b/>
                <w:u w:val="single"/>
              </w:rPr>
            </w:pPr>
            <w:r>
              <w:rPr>
                <w:b/>
                <w:u w:val="single"/>
              </w:rPr>
              <w:t>COMPARISON OF SENATE ENGROSSED AND SUBSTITUTE</w:t>
            </w:r>
          </w:p>
          <w:p w14:paraId="3980C0C0" w14:textId="77777777" w:rsidR="005F4F4E" w:rsidRDefault="005F4F4E" w:rsidP="00F22BEA">
            <w:pPr>
              <w:jc w:val="both"/>
            </w:pPr>
          </w:p>
          <w:p w14:paraId="19966255" w14:textId="485EC5DC" w:rsidR="005F4F4E" w:rsidRDefault="00B0223D" w:rsidP="00F22BEA">
            <w:pPr>
              <w:jc w:val="both"/>
            </w:pPr>
            <w:r>
              <w:t xml:space="preserve">While C.S.S.B. 696 may differ from the engrossed in minor or nonsubstantive ways, the following summarizes the </w:t>
            </w:r>
            <w:r>
              <w:t>substantial differences between the engrossed and committee substitute versions of the bill.</w:t>
            </w:r>
          </w:p>
          <w:p w14:paraId="76D960F6" w14:textId="659328DA" w:rsidR="00B615D4" w:rsidRDefault="00B615D4" w:rsidP="00F22BEA">
            <w:pPr>
              <w:jc w:val="both"/>
            </w:pPr>
          </w:p>
          <w:p w14:paraId="59931606" w14:textId="387C1415" w:rsidR="00B615D4" w:rsidRDefault="00B0223D" w:rsidP="00F22BEA">
            <w:pPr>
              <w:jc w:val="both"/>
            </w:pPr>
            <w:r>
              <w:t xml:space="preserve">The substitute includes provisions absent from the </w:t>
            </w:r>
            <w:r w:rsidR="00FB6617">
              <w:t>engrossed</w:t>
            </w:r>
            <w:r>
              <w:t xml:space="preserve"> regarding the use of county hotel occupancy tax revenue </w:t>
            </w:r>
            <w:r w:rsidR="00FB6617">
              <w:t xml:space="preserve">by certain counties </w:t>
            </w:r>
            <w:r>
              <w:t xml:space="preserve">for </w:t>
            </w:r>
            <w:r w:rsidRPr="00B615D4">
              <w:t>repairs and improveme</w:t>
            </w:r>
            <w:r w:rsidRPr="00B615D4">
              <w:t xml:space="preserve">nts to </w:t>
            </w:r>
            <w:r w:rsidR="00FB6617">
              <w:t xml:space="preserve">a </w:t>
            </w:r>
            <w:r w:rsidRPr="00B615D4">
              <w:t>county airport</w:t>
            </w:r>
            <w:r>
              <w:t xml:space="preserve"> and for the promotion and preservation of dark skies.</w:t>
            </w:r>
            <w:r w:rsidR="00470631">
              <w:t xml:space="preserve"> </w:t>
            </w:r>
            <w:r w:rsidR="00070E02">
              <w:t>The substitute also repeals a provision, which the engrossed does not, regarding the allocation of the municipal hotel occupancy tax revenue collected by the largest municipality in a county that borders the United Mexican States and in which there is located a national park of more than 400,000 acres for certain purposes.</w:t>
            </w:r>
          </w:p>
          <w:p w14:paraId="6942EB0F" w14:textId="559ED41E" w:rsidR="005F4F4E" w:rsidRPr="005F4F4E" w:rsidRDefault="005F4F4E" w:rsidP="00F22BEA">
            <w:pPr>
              <w:jc w:val="both"/>
            </w:pPr>
          </w:p>
        </w:tc>
      </w:tr>
      <w:tr w:rsidR="00F9382C" w14:paraId="4E4EFD2D" w14:textId="77777777" w:rsidTr="00345119">
        <w:tc>
          <w:tcPr>
            <w:tcW w:w="9576" w:type="dxa"/>
          </w:tcPr>
          <w:p w14:paraId="26C0D242" w14:textId="77777777" w:rsidR="00265511" w:rsidRPr="009C1E9A" w:rsidRDefault="00265511" w:rsidP="00F22BEA">
            <w:pPr>
              <w:rPr>
                <w:b/>
                <w:u w:val="single"/>
              </w:rPr>
            </w:pPr>
          </w:p>
        </w:tc>
      </w:tr>
      <w:tr w:rsidR="00F9382C" w14:paraId="68A36578" w14:textId="77777777" w:rsidTr="00345119">
        <w:tc>
          <w:tcPr>
            <w:tcW w:w="9576" w:type="dxa"/>
          </w:tcPr>
          <w:p w14:paraId="5DF705B9" w14:textId="77777777" w:rsidR="00265511" w:rsidRPr="00265511" w:rsidRDefault="00265511" w:rsidP="00F22BEA">
            <w:pPr>
              <w:jc w:val="both"/>
            </w:pPr>
          </w:p>
        </w:tc>
      </w:tr>
    </w:tbl>
    <w:p w14:paraId="0106C762" w14:textId="77777777" w:rsidR="008423E4" w:rsidRPr="00BE0E75" w:rsidRDefault="008423E4" w:rsidP="00F22BEA">
      <w:pPr>
        <w:jc w:val="both"/>
        <w:rPr>
          <w:rFonts w:ascii="Arial" w:hAnsi="Arial"/>
          <w:sz w:val="16"/>
          <w:szCs w:val="16"/>
        </w:rPr>
      </w:pPr>
    </w:p>
    <w:p w14:paraId="7C1B99FE" w14:textId="77777777" w:rsidR="004108C3" w:rsidRPr="008423E4" w:rsidRDefault="004108C3" w:rsidP="00F22BE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97C96" w14:textId="77777777" w:rsidR="00000000" w:rsidRDefault="00B0223D">
      <w:r>
        <w:separator/>
      </w:r>
    </w:p>
  </w:endnote>
  <w:endnote w:type="continuationSeparator" w:id="0">
    <w:p w14:paraId="5E8CD48F" w14:textId="77777777" w:rsidR="00000000" w:rsidRDefault="00B0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407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9382C" w14:paraId="69CD877A" w14:textId="77777777" w:rsidTr="009C1E9A">
      <w:trPr>
        <w:cantSplit/>
      </w:trPr>
      <w:tc>
        <w:tcPr>
          <w:tcW w:w="0" w:type="pct"/>
        </w:tcPr>
        <w:p w14:paraId="0BB81108" w14:textId="77777777" w:rsidR="00137D90" w:rsidRDefault="00137D90" w:rsidP="009C1E9A">
          <w:pPr>
            <w:pStyle w:val="Footer"/>
            <w:tabs>
              <w:tab w:val="clear" w:pos="8640"/>
              <w:tab w:val="right" w:pos="9360"/>
            </w:tabs>
          </w:pPr>
        </w:p>
      </w:tc>
      <w:tc>
        <w:tcPr>
          <w:tcW w:w="2395" w:type="pct"/>
        </w:tcPr>
        <w:p w14:paraId="2F721183" w14:textId="77777777" w:rsidR="00137D90" w:rsidRDefault="00137D90" w:rsidP="009C1E9A">
          <w:pPr>
            <w:pStyle w:val="Footer"/>
            <w:tabs>
              <w:tab w:val="clear" w:pos="8640"/>
              <w:tab w:val="right" w:pos="9360"/>
            </w:tabs>
          </w:pPr>
        </w:p>
        <w:p w14:paraId="46168B82" w14:textId="77777777" w:rsidR="001A4310" w:rsidRDefault="001A4310" w:rsidP="009C1E9A">
          <w:pPr>
            <w:pStyle w:val="Footer"/>
            <w:tabs>
              <w:tab w:val="clear" w:pos="8640"/>
              <w:tab w:val="right" w:pos="9360"/>
            </w:tabs>
          </w:pPr>
        </w:p>
        <w:p w14:paraId="69F2C78D" w14:textId="77777777" w:rsidR="00137D90" w:rsidRDefault="00137D90" w:rsidP="009C1E9A">
          <w:pPr>
            <w:pStyle w:val="Footer"/>
            <w:tabs>
              <w:tab w:val="clear" w:pos="8640"/>
              <w:tab w:val="right" w:pos="9360"/>
            </w:tabs>
          </w:pPr>
        </w:p>
      </w:tc>
      <w:tc>
        <w:tcPr>
          <w:tcW w:w="2453" w:type="pct"/>
        </w:tcPr>
        <w:p w14:paraId="21DE5772" w14:textId="77777777" w:rsidR="00137D90" w:rsidRDefault="00137D90" w:rsidP="009C1E9A">
          <w:pPr>
            <w:pStyle w:val="Footer"/>
            <w:tabs>
              <w:tab w:val="clear" w:pos="8640"/>
              <w:tab w:val="right" w:pos="9360"/>
            </w:tabs>
            <w:jc w:val="right"/>
          </w:pPr>
        </w:p>
      </w:tc>
    </w:tr>
    <w:tr w:rsidR="00F9382C" w14:paraId="3F23341D" w14:textId="77777777" w:rsidTr="009C1E9A">
      <w:trPr>
        <w:cantSplit/>
      </w:trPr>
      <w:tc>
        <w:tcPr>
          <w:tcW w:w="0" w:type="pct"/>
        </w:tcPr>
        <w:p w14:paraId="0CD35613" w14:textId="77777777" w:rsidR="00EC379B" w:rsidRDefault="00EC379B" w:rsidP="009C1E9A">
          <w:pPr>
            <w:pStyle w:val="Footer"/>
            <w:tabs>
              <w:tab w:val="clear" w:pos="8640"/>
              <w:tab w:val="right" w:pos="9360"/>
            </w:tabs>
          </w:pPr>
        </w:p>
      </w:tc>
      <w:tc>
        <w:tcPr>
          <w:tcW w:w="2395" w:type="pct"/>
        </w:tcPr>
        <w:p w14:paraId="2299C8F5" w14:textId="459B954B" w:rsidR="00EC379B" w:rsidRPr="009C1E9A" w:rsidRDefault="00B0223D" w:rsidP="009C1E9A">
          <w:pPr>
            <w:pStyle w:val="Footer"/>
            <w:tabs>
              <w:tab w:val="clear" w:pos="8640"/>
              <w:tab w:val="right" w:pos="9360"/>
            </w:tabs>
            <w:rPr>
              <w:rFonts w:ascii="Shruti" w:hAnsi="Shruti"/>
              <w:sz w:val="22"/>
            </w:rPr>
          </w:pPr>
          <w:r>
            <w:rPr>
              <w:rFonts w:ascii="Shruti" w:hAnsi="Shruti"/>
              <w:sz w:val="22"/>
            </w:rPr>
            <w:t>87R 25434</w:t>
          </w:r>
        </w:p>
      </w:tc>
      <w:tc>
        <w:tcPr>
          <w:tcW w:w="2453" w:type="pct"/>
        </w:tcPr>
        <w:p w14:paraId="00BF1F5F" w14:textId="1582E89E" w:rsidR="00EC379B" w:rsidRDefault="00B0223D" w:rsidP="009C1E9A">
          <w:pPr>
            <w:pStyle w:val="Footer"/>
            <w:tabs>
              <w:tab w:val="clear" w:pos="8640"/>
              <w:tab w:val="right" w:pos="9360"/>
            </w:tabs>
            <w:jc w:val="right"/>
          </w:pPr>
          <w:r>
            <w:fldChar w:fldCharType="begin"/>
          </w:r>
          <w:r>
            <w:instrText xml:space="preserve"> DOCPROPERTY  OTID  \* MERGEFORMAT </w:instrText>
          </w:r>
          <w:r>
            <w:fldChar w:fldCharType="separate"/>
          </w:r>
          <w:r w:rsidR="00246C9E">
            <w:t>21.130.378</w:t>
          </w:r>
          <w:r>
            <w:fldChar w:fldCharType="end"/>
          </w:r>
        </w:p>
      </w:tc>
    </w:tr>
    <w:tr w:rsidR="00F9382C" w14:paraId="45F3CFD9" w14:textId="77777777" w:rsidTr="009C1E9A">
      <w:trPr>
        <w:cantSplit/>
      </w:trPr>
      <w:tc>
        <w:tcPr>
          <w:tcW w:w="0" w:type="pct"/>
        </w:tcPr>
        <w:p w14:paraId="449303A5" w14:textId="77777777" w:rsidR="00EC379B" w:rsidRDefault="00EC379B" w:rsidP="009C1E9A">
          <w:pPr>
            <w:pStyle w:val="Footer"/>
            <w:tabs>
              <w:tab w:val="clear" w:pos="4320"/>
              <w:tab w:val="clear" w:pos="8640"/>
              <w:tab w:val="left" w:pos="2865"/>
            </w:tabs>
          </w:pPr>
        </w:p>
      </w:tc>
      <w:tc>
        <w:tcPr>
          <w:tcW w:w="2395" w:type="pct"/>
        </w:tcPr>
        <w:p w14:paraId="56FF9E5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76A61CC" w14:textId="77777777" w:rsidR="00EC379B" w:rsidRDefault="00EC379B" w:rsidP="006D504F">
          <w:pPr>
            <w:pStyle w:val="Footer"/>
            <w:rPr>
              <w:rStyle w:val="PageNumber"/>
            </w:rPr>
          </w:pPr>
        </w:p>
        <w:p w14:paraId="3736A20E" w14:textId="77777777" w:rsidR="00EC379B" w:rsidRDefault="00EC379B" w:rsidP="009C1E9A">
          <w:pPr>
            <w:pStyle w:val="Footer"/>
            <w:tabs>
              <w:tab w:val="clear" w:pos="8640"/>
              <w:tab w:val="right" w:pos="9360"/>
            </w:tabs>
            <w:jc w:val="right"/>
          </w:pPr>
        </w:p>
      </w:tc>
    </w:tr>
    <w:tr w:rsidR="00F9382C" w14:paraId="30009C23" w14:textId="77777777" w:rsidTr="009C1E9A">
      <w:trPr>
        <w:cantSplit/>
        <w:trHeight w:val="323"/>
      </w:trPr>
      <w:tc>
        <w:tcPr>
          <w:tcW w:w="0" w:type="pct"/>
          <w:gridSpan w:val="3"/>
        </w:tcPr>
        <w:p w14:paraId="35798CBA" w14:textId="2761E230" w:rsidR="00EC379B" w:rsidRDefault="00B022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46C9E">
            <w:rPr>
              <w:rStyle w:val="PageNumber"/>
              <w:noProof/>
            </w:rPr>
            <w:t>3</w:t>
          </w:r>
          <w:r>
            <w:rPr>
              <w:rStyle w:val="PageNumber"/>
            </w:rPr>
            <w:fldChar w:fldCharType="end"/>
          </w:r>
        </w:p>
        <w:p w14:paraId="13188DB2" w14:textId="77777777" w:rsidR="00EC379B" w:rsidRDefault="00EC379B" w:rsidP="009C1E9A">
          <w:pPr>
            <w:pStyle w:val="Footer"/>
            <w:tabs>
              <w:tab w:val="clear" w:pos="8640"/>
              <w:tab w:val="right" w:pos="9360"/>
            </w:tabs>
            <w:jc w:val="center"/>
          </w:pPr>
        </w:p>
      </w:tc>
    </w:tr>
  </w:tbl>
  <w:p w14:paraId="2272C694"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9F9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3B11" w14:textId="77777777" w:rsidR="00000000" w:rsidRDefault="00B0223D">
      <w:r>
        <w:separator/>
      </w:r>
    </w:p>
  </w:footnote>
  <w:footnote w:type="continuationSeparator" w:id="0">
    <w:p w14:paraId="03AFBA2D" w14:textId="77777777" w:rsidR="00000000" w:rsidRDefault="00B0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D09F"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CF7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E16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7562"/>
    <w:multiLevelType w:val="hybridMultilevel"/>
    <w:tmpl w:val="02969382"/>
    <w:lvl w:ilvl="0" w:tplc="16180B70">
      <w:start w:val="1"/>
      <w:numFmt w:val="bullet"/>
      <w:lvlText w:val=""/>
      <w:lvlJc w:val="left"/>
      <w:pPr>
        <w:tabs>
          <w:tab w:val="num" w:pos="780"/>
        </w:tabs>
        <w:ind w:left="780" w:hanging="360"/>
      </w:pPr>
      <w:rPr>
        <w:rFonts w:ascii="Symbol" w:hAnsi="Symbol" w:hint="default"/>
      </w:rPr>
    </w:lvl>
    <w:lvl w:ilvl="1" w:tplc="119C0242" w:tentative="1">
      <w:start w:val="1"/>
      <w:numFmt w:val="bullet"/>
      <w:lvlText w:val="o"/>
      <w:lvlJc w:val="left"/>
      <w:pPr>
        <w:ind w:left="1500" w:hanging="360"/>
      </w:pPr>
      <w:rPr>
        <w:rFonts w:ascii="Courier New" w:hAnsi="Courier New" w:cs="Courier New" w:hint="default"/>
      </w:rPr>
    </w:lvl>
    <w:lvl w:ilvl="2" w:tplc="F90E38D4" w:tentative="1">
      <w:start w:val="1"/>
      <w:numFmt w:val="bullet"/>
      <w:lvlText w:val=""/>
      <w:lvlJc w:val="left"/>
      <w:pPr>
        <w:ind w:left="2220" w:hanging="360"/>
      </w:pPr>
      <w:rPr>
        <w:rFonts w:ascii="Wingdings" w:hAnsi="Wingdings" w:hint="default"/>
      </w:rPr>
    </w:lvl>
    <w:lvl w:ilvl="3" w:tplc="8AF8E548" w:tentative="1">
      <w:start w:val="1"/>
      <w:numFmt w:val="bullet"/>
      <w:lvlText w:val=""/>
      <w:lvlJc w:val="left"/>
      <w:pPr>
        <w:ind w:left="2940" w:hanging="360"/>
      </w:pPr>
      <w:rPr>
        <w:rFonts w:ascii="Symbol" w:hAnsi="Symbol" w:hint="default"/>
      </w:rPr>
    </w:lvl>
    <w:lvl w:ilvl="4" w:tplc="A3D0EDFC" w:tentative="1">
      <w:start w:val="1"/>
      <w:numFmt w:val="bullet"/>
      <w:lvlText w:val="o"/>
      <w:lvlJc w:val="left"/>
      <w:pPr>
        <w:ind w:left="3660" w:hanging="360"/>
      </w:pPr>
      <w:rPr>
        <w:rFonts w:ascii="Courier New" w:hAnsi="Courier New" w:cs="Courier New" w:hint="default"/>
      </w:rPr>
    </w:lvl>
    <w:lvl w:ilvl="5" w:tplc="7FEC0824" w:tentative="1">
      <w:start w:val="1"/>
      <w:numFmt w:val="bullet"/>
      <w:lvlText w:val=""/>
      <w:lvlJc w:val="left"/>
      <w:pPr>
        <w:ind w:left="4380" w:hanging="360"/>
      </w:pPr>
      <w:rPr>
        <w:rFonts w:ascii="Wingdings" w:hAnsi="Wingdings" w:hint="default"/>
      </w:rPr>
    </w:lvl>
    <w:lvl w:ilvl="6" w:tplc="A2DA2BD8" w:tentative="1">
      <w:start w:val="1"/>
      <w:numFmt w:val="bullet"/>
      <w:lvlText w:val=""/>
      <w:lvlJc w:val="left"/>
      <w:pPr>
        <w:ind w:left="5100" w:hanging="360"/>
      </w:pPr>
      <w:rPr>
        <w:rFonts w:ascii="Symbol" w:hAnsi="Symbol" w:hint="default"/>
      </w:rPr>
    </w:lvl>
    <w:lvl w:ilvl="7" w:tplc="5B8A2EB4" w:tentative="1">
      <w:start w:val="1"/>
      <w:numFmt w:val="bullet"/>
      <w:lvlText w:val="o"/>
      <w:lvlJc w:val="left"/>
      <w:pPr>
        <w:ind w:left="5820" w:hanging="360"/>
      </w:pPr>
      <w:rPr>
        <w:rFonts w:ascii="Courier New" w:hAnsi="Courier New" w:cs="Courier New" w:hint="default"/>
      </w:rPr>
    </w:lvl>
    <w:lvl w:ilvl="8" w:tplc="08A2687A" w:tentative="1">
      <w:start w:val="1"/>
      <w:numFmt w:val="bullet"/>
      <w:lvlText w:val=""/>
      <w:lvlJc w:val="left"/>
      <w:pPr>
        <w:ind w:left="6540" w:hanging="360"/>
      </w:pPr>
      <w:rPr>
        <w:rFonts w:ascii="Wingdings" w:hAnsi="Wingdings" w:hint="default"/>
      </w:rPr>
    </w:lvl>
  </w:abstractNum>
  <w:abstractNum w:abstractNumId="1" w15:restartNumberingAfterBreak="0">
    <w:nsid w:val="092E6B76"/>
    <w:multiLevelType w:val="hybridMultilevel"/>
    <w:tmpl w:val="B128E40C"/>
    <w:lvl w:ilvl="0" w:tplc="1F626374">
      <w:start w:val="1"/>
      <w:numFmt w:val="bullet"/>
      <w:lvlText w:val=""/>
      <w:lvlJc w:val="left"/>
      <w:pPr>
        <w:tabs>
          <w:tab w:val="num" w:pos="720"/>
        </w:tabs>
        <w:ind w:left="720" w:hanging="360"/>
      </w:pPr>
      <w:rPr>
        <w:rFonts w:ascii="Symbol" w:hAnsi="Symbol" w:hint="default"/>
      </w:rPr>
    </w:lvl>
    <w:lvl w:ilvl="1" w:tplc="BE5AF790" w:tentative="1">
      <w:start w:val="1"/>
      <w:numFmt w:val="bullet"/>
      <w:lvlText w:val="o"/>
      <w:lvlJc w:val="left"/>
      <w:pPr>
        <w:ind w:left="1440" w:hanging="360"/>
      </w:pPr>
      <w:rPr>
        <w:rFonts w:ascii="Courier New" w:hAnsi="Courier New" w:cs="Courier New" w:hint="default"/>
      </w:rPr>
    </w:lvl>
    <w:lvl w:ilvl="2" w:tplc="115AF83A" w:tentative="1">
      <w:start w:val="1"/>
      <w:numFmt w:val="bullet"/>
      <w:lvlText w:val=""/>
      <w:lvlJc w:val="left"/>
      <w:pPr>
        <w:ind w:left="2160" w:hanging="360"/>
      </w:pPr>
      <w:rPr>
        <w:rFonts w:ascii="Wingdings" w:hAnsi="Wingdings" w:hint="default"/>
      </w:rPr>
    </w:lvl>
    <w:lvl w:ilvl="3" w:tplc="5838B2D6" w:tentative="1">
      <w:start w:val="1"/>
      <w:numFmt w:val="bullet"/>
      <w:lvlText w:val=""/>
      <w:lvlJc w:val="left"/>
      <w:pPr>
        <w:ind w:left="2880" w:hanging="360"/>
      </w:pPr>
      <w:rPr>
        <w:rFonts w:ascii="Symbol" w:hAnsi="Symbol" w:hint="default"/>
      </w:rPr>
    </w:lvl>
    <w:lvl w:ilvl="4" w:tplc="6DBEAF9E" w:tentative="1">
      <w:start w:val="1"/>
      <w:numFmt w:val="bullet"/>
      <w:lvlText w:val="o"/>
      <w:lvlJc w:val="left"/>
      <w:pPr>
        <w:ind w:left="3600" w:hanging="360"/>
      </w:pPr>
      <w:rPr>
        <w:rFonts w:ascii="Courier New" w:hAnsi="Courier New" w:cs="Courier New" w:hint="default"/>
      </w:rPr>
    </w:lvl>
    <w:lvl w:ilvl="5" w:tplc="B7B401A6" w:tentative="1">
      <w:start w:val="1"/>
      <w:numFmt w:val="bullet"/>
      <w:lvlText w:val=""/>
      <w:lvlJc w:val="left"/>
      <w:pPr>
        <w:ind w:left="4320" w:hanging="360"/>
      </w:pPr>
      <w:rPr>
        <w:rFonts w:ascii="Wingdings" w:hAnsi="Wingdings" w:hint="default"/>
      </w:rPr>
    </w:lvl>
    <w:lvl w:ilvl="6" w:tplc="8FD08FBC" w:tentative="1">
      <w:start w:val="1"/>
      <w:numFmt w:val="bullet"/>
      <w:lvlText w:val=""/>
      <w:lvlJc w:val="left"/>
      <w:pPr>
        <w:ind w:left="5040" w:hanging="360"/>
      </w:pPr>
      <w:rPr>
        <w:rFonts w:ascii="Symbol" w:hAnsi="Symbol" w:hint="default"/>
      </w:rPr>
    </w:lvl>
    <w:lvl w:ilvl="7" w:tplc="B0B0DAAE" w:tentative="1">
      <w:start w:val="1"/>
      <w:numFmt w:val="bullet"/>
      <w:lvlText w:val="o"/>
      <w:lvlJc w:val="left"/>
      <w:pPr>
        <w:ind w:left="5760" w:hanging="360"/>
      </w:pPr>
      <w:rPr>
        <w:rFonts w:ascii="Courier New" w:hAnsi="Courier New" w:cs="Courier New" w:hint="default"/>
      </w:rPr>
    </w:lvl>
    <w:lvl w:ilvl="8" w:tplc="FDFE84E6" w:tentative="1">
      <w:start w:val="1"/>
      <w:numFmt w:val="bullet"/>
      <w:lvlText w:val=""/>
      <w:lvlJc w:val="left"/>
      <w:pPr>
        <w:ind w:left="6480" w:hanging="360"/>
      </w:pPr>
      <w:rPr>
        <w:rFonts w:ascii="Wingdings" w:hAnsi="Wingdings" w:hint="default"/>
      </w:rPr>
    </w:lvl>
  </w:abstractNum>
  <w:abstractNum w:abstractNumId="2" w15:restartNumberingAfterBreak="0">
    <w:nsid w:val="0CF263CB"/>
    <w:multiLevelType w:val="hybridMultilevel"/>
    <w:tmpl w:val="6316CA26"/>
    <w:lvl w:ilvl="0" w:tplc="1B829384">
      <w:start w:val="1"/>
      <w:numFmt w:val="bullet"/>
      <w:lvlText w:val=""/>
      <w:lvlJc w:val="left"/>
      <w:pPr>
        <w:tabs>
          <w:tab w:val="num" w:pos="720"/>
        </w:tabs>
        <w:ind w:left="720" w:hanging="360"/>
      </w:pPr>
      <w:rPr>
        <w:rFonts w:ascii="Symbol" w:hAnsi="Symbol" w:hint="default"/>
      </w:rPr>
    </w:lvl>
    <w:lvl w:ilvl="1" w:tplc="97DECCAC" w:tentative="1">
      <w:start w:val="1"/>
      <w:numFmt w:val="bullet"/>
      <w:lvlText w:val="o"/>
      <w:lvlJc w:val="left"/>
      <w:pPr>
        <w:ind w:left="1440" w:hanging="360"/>
      </w:pPr>
      <w:rPr>
        <w:rFonts w:ascii="Courier New" w:hAnsi="Courier New" w:cs="Courier New" w:hint="default"/>
      </w:rPr>
    </w:lvl>
    <w:lvl w:ilvl="2" w:tplc="7D64F14E" w:tentative="1">
      <w:start w:val="1"/>
      <w:numFmt w:val="bullet"/>
      <w:lvlText w:val=""/>
      <w:lvlJc w:val="left"/>
      <w:pPr>
        <w:ind w:left="2160" w:hanging="360"/>
      </w:pPr>
      <w:rPr>
        <w:rFonts w:ascii="Wingdings" w:hAnsi="Wingdings" w:hint="default"/>
      </w:rPr>
    </w:lvl>
    <w:lvl w:ilvl="3" w:tplc="CCB005A0" w:tentative="1">
      <w:start w:val="1"/>
      <w:numFmt w:val="bullet"/>
      <w:lvlText w:val=""/>
      <w:lvlJc w:val="left"/>
      <w:pPr>
        <w:ind w:left="2880" w:hanging="360"/>
      </w:pPr>
      <w:rPr>
        <w:rFonts w:ascii="Symbol" w:hAnsi="Symbol" w:hint="default"/>
      </w:rPr>
    </w:lvl>
    <w:lvl w:ilvl="4" w:tplc="37DED28C" w:tentative="1">
      <w:start w:val="1"/>
      <w:numFmt w:val="bullet"/>
      <w:lvlText w:val="o"/>
      <w:lvlJc w:val="left"/>
      <w:pPr>
        <w:ind w:left="3600" w:hanging="360"/>
      </w:pPr>
      <w:rPr>
        <w:rFonts w:ascii="Courier New" w:hAnsi="Courier New" w:cs="Courier New" w:hint="default"/>
      </w:rPr>
    </w:lvl>
    <w:lvl w:ilvl="5" w:tplc="0436D458" w:tentative="1">
      <w:start w:val="1"/>
      <w:numFmt w:val="bullet"/>
      <w:lvlText w:val=""/>
      <w:lvlJc w:val="left"/>
      <w:pPr>
        <w:ind w:left="4320" w:hanging="360"/>
      </w:pPr>
      <w:rPr>
        <w:rFonts w:ascii="Wingdings" w:hAnsi="Wingdings" w:hint="default"/>
      </w:rPr>
    </w:lvl>
    <w:lvl w:ilvl="6" w:tplc="C2E8F810" w:tentative="1">
      <w:start w:val="1"/>
      <w:numFmt w:val="bullet"/>
      <w:lvlText w:val=""/>
      <w:lvlJc w:val="left"/>
      <w:pPr>
        <w:ind w:left="5040" w:hanging="360"/>
      </w:pPr>
      <w:rPr>
        <w:rFonts w:ascii="Symbol" w:hAnsi="Symbol" w:hint="default"/>
      </w:rPr>
    </w:lvl>
    <w:lvl w:ilvl="7" w:tplc="22FA3DA6" w:tentative="1">
      <w:start w:val="1"/>
      <w:numFmt w:val="bullet"/>
      <w:lvlText w:val="o"/>
      <w:lvlJc w:val="left"/>
      <w:pPr>
        <w:ind w:left="5760" w:hanging="360"/>
      </w:pPr>
      <w:rPr>
        <w:rFonts w:ascii="Courier New" w:hAnsi="Courier New" w:cs="Courier New" w:hint="default"/>
      </w:rPr>
    </w:lvl>
    <w:lvl w:ilvl="8" w:tplc="6652E55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C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BAC"/>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0E02"/>
    <w:rsid w:val="00073914"/>
    <w:rsid w:val="00074236"/>
    <w:rsid w:val="000746BD"/>
    <w:rsid w:val="00076D7D"/>
    <w:rsid w:val="00080D95"/>
    <w:rsid w:val="0008719F"/>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E62"/>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422"/>
    <w:rsid w:val="00102D3F"/>
    <w:rsid w:val="00102EC7"/>
    <w:rsid w:val="0010347D"/>
    <w:rsid w:val="00110F8C"/>
    <w:rsid w:val="0011274A"/>
    <w:rsid w:val="00112B8B"/>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E95"/>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6DFC"/>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6C9E"/>
    <w:rsid w:val="00247D27"/>
    <w:rsid w:val="00250A50"/>
    <w:rsid w:val="00251ED5"/>
    <w:rsid w:val="00255EB6"/>
    <w:rsid w:val="00257429"/>
    <w:rsid w:val="00260FA4"/>
    <w:rsid w:val="00261183"/>
    <w:rsid w:val="00262A66"/>
    <w:rsid w:val="00263140"/>
    <w:rsid w:val="002631C8"/>
    <w:rsid w:val="00265133"/>
    <w:rsid w:val="00265511"/>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1D45"/>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4FD9"/>
    <w:rsid w:val="003B1501"/>
    <w:rsid w:val="003B185E"/>
    <w:rsid w:val="003B198A"/>
    <w:rsid w:val="003B1CA3"/>
    <w:rsid w:val="003B1ED9"/>
    <w:rsid w:val="003B2891"/>
    <w:rsid w:val="003B3DF3"/>
    <w:rsid w:val="003B48E2"/>
    <w:rsid w:val="003B48FF"/>
    <w:rsid w:val="003B4FA1"/>
    <w:rsid w:val="003B5BAD"/>
    <w:rsid w:val="003B66B6"/>
    <w:rsid w:val="003B7984"/>
    <w:rsid w:val="003B7AF6"/>
    <w:rsid w:val="003C0411"/>
    <w:rsid w:val="003C1871"/>
    <w:rsid w:val="003C1C55"/>
    <w:rsid w:val="003C25EA"/>
    <w:rsid w:val="003C36FD"/>
    <w:rsid w:val="003C664C"/>
    <w:rsid w:val="003D600A"/>
    <w:rsid w:val="003D726D"/>
    <w:rsid w:val="003E0875"/>
    <w:rsid w:val="003E0BB8"/>
    <w:rsid w:val="003E6CB0"/>
    <w:rsid w:val="003F1F5E"/>
    <w:rsid w:val="003F286A"/>
    <w:rsid w:val="003F5427"/>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0631"/>
    <w:rsid w:val="00474927"/>
    <w:rsid w:val="00475913"/>
    <w:rsid w:val="00480080"/>
    <w:rsid w:val="004824A7"/>
    <w:rsid w:val="00483AF0"/>
    <w:rsid w:val="00484167"/>
    <w:rsid w:val="00492211"/>
    <w:rsid w:val="00492325"/>
    <w:rsid w:val="00492A6D"/>
    <w:rsid w:val="00494303"/>
    <w:rsid w:val="0049682B"/>
    <w:rsid w:val="00496A61"/>
    <w:rsid w:val="004A03F7"/>
    <w:rsid w:val="004A081C"/>
    <w:rsid w:val="004A123F"/>
    <w:rsid w:val="004A2172"/>
    <w:rsid w:val="004A4DB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8A3"/>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5C04"/>
    <w:rsid w:val="00576714"/>
    <w:rsid w:val="0057685A"/>
    <w:rsid w:val="005847EF"/>
    <w:rsid w:val="005851E6"/>
    <w:rsid w:val="005878B7"/>
    <w:rsid w:val="00592C9A"/>
    <w:rsid w:val="00593DF8"/>
    <w:rsid w:val="00595745"/>
    <w:rsid w:val="005A0E18"/>
    <w:rsid w:val="005A12A5"/>
    <w:rsid w:val="005A3790"/>
    <w:rsid w:val="005A3AF9"/>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DBD"/>
    <w:rsid w:val="005F4862"/>
    <w:rsid w:val="005F4F4E"/>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7606"/>
    <w:rsid w:val="00662B77"/>
    <w:rsid w:val="00662D0E"/>
    <w:rsid w:val="00663265"/>
    <w:rsid w:val="0066345F"/>
    <w:rsid w:val="0066485B"/>
    <w:rsid w:val="0067036E"/>
    <w:rsid w:val="00671693"/>
    <w:rsid w:val="006757AA"/>
    <w:rsid w:val="0068127E"/>
    <w:rsid w:val="00681790"/>
    <w:rsid w:val="00681DC4"/>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07B6A"/>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627"/>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4C78"/>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442"/>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0907"/>
    <w:rsid w:val="0098170E"/>
    <w:rsid w:val="0098285C"/>
    <w:rsid w:val="00983B56"/>
    <w:rsid w:val="009847FD"/>
    <w:rsid w:val="009851B3"/>
    <w:rsid w:val="00985300"/>
    <w:rsid w:val="00986720"/>
    <w:rsid w:val="00987F00"/>
    <w:rsid w:val="0099403D"/>
    <w:rsid w:val="00995B0B"/>
    <w:rsid w:val="0099741B"/>
    <w:rsid w:val="009A1883"/>
    <w:rsid w:val="009A39F5"/>
    <w:rsid w:val="009A4588"/>
    <w:rsid w:val="009A5EA5"/>
    <w:rsid w:val="009B00C2"/>
    <w:rsid w:val="009B26AB"/>
    <w:rsid w:val="009B3476"/>
    <w:rsid w:val="009B39BC"/>
    <w:rsid w:val="009B5069"/>
    <w:rsid w:val="009B602D"/>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3C"/>
    <w:rsid w:val="00A43960"/>
    <w:rsid w:val="00A46902"/>
    <w:rsid w:val="00A50CDB"/>
    <w:rsid w:val="00A51D87"/>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245"/>
    <w:rsid w:val="00AF48B4"/>
    <w:rsid w:val="00AF4923"/>
    <w:rsid w:val="00AF7C74"/>
    <w:rsid w:val="00B000AF"/>
    <w:rsid w:val="00B0223D"/>
    <w:rsid w:val="00B04E79"/>
    <w:rsid w:val="00B07488"/>
    <w:rsid w:val="00B075A2"/>
    <w:rsid w:val="00B10DD2"/>
    <w:rsid w:val="00B11276"/>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15D4"/>
    <w:rsid w:val="00B62106"/>
    <w:rsid w:val="00B626A8"/>
    <w:rsid w:val="00B65695"/>
    <w:rsid w:val="00B66526"/>
    <w:rsid w:val="00B665A3"/>
    <w:rsid w:val="00B679EA"/>
    <w:rsid w:val="00B73BB4"/>
    <w:rsid w:val="00B80532"/>
    <w:rsid w:val="00B82039"/>
    <w:rsid w:val="00B82454"/>
    <w:rsid w:val="00B85790"/>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B0"/>
    <w:rsid w:val="00C151DA"/>
    <w:rsid w:val="00C152A1"/>
    <w:rsid w:val="00C16CCB"/>
    <w:rsid w:val="00C2142B"/>
    <w:rsid w:val="00C22987"/>
    <w:rsid w:val="00C23956"/>
    <w:rsid w:val="00C248E6"/>
    <w:rsid w:val="00C2766F"/>
    <w:rsid w:val="00C27C7C"/>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6F01"/>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64C7"/>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226A"/>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79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3B"/>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0D27"/>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BEA"/>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34A"/>
    <w:rsid w:val="00F5605D"/>
    <w:rsid w:val="00F6514B"/>
    <w:rsid w:val="00F6587F"/>
    <w:rsid w:val="00F67981"/>
    <w:rsid w:val="00F706CA"/>
    <w:rsid w:val="00F70F8D"/>
    <w:rsid w:val="00F71C5A"/>
    <w:rsid w:val="00F733A4"/>
    <w:rsid w:val="00F7758F"/>
    <w:rsid w:val="00F82811"/>
    <w:rsid w:val="00F84153"/>
    <w:rsid w:val="00F84C2E"/>
    <w:rsid w:val="00F85661"/>
    <w:rsid w:val="00F85A31"/>
    <w:rsid w:val="00F9382C"/>
    <w:rsid w:val="00F96602"/>
    <w:rsid w:val="00F9735A"/>
    <w:rsid w:val="00FA32FC"/>
    <w:rsid w:val="00FA59FD"/>
    <w:rsid w:val="00FA5D8C"/>
    <w:rsid w:val="00FA5E8C"/>
    <w:rsid w:val="00FA6403"/>
    <w:rsid w:val="00FB16CD"/>
    <w:rsid w:val="00FB4197"/>
    <w:rsid w:val="00FB6617"/>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5266"/>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BA16-2879-4079-903F-244C875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81DC4"/>
    <w:rPr>
      <w:sz w:val="16"/>
      <w:szCs w:val="16"/>
    </w:rPr>
  </w:style>
  <w:style w:type="paragraph" w:styleId="CommentText">
    <w:name w:val="annotation text"/>
    <w:basedOn w:val="Normal"/>
    <w:link w:val="CommentTextChar"/>
    <w:semiHidden/>
    <w:unhideWhenUsed/>
    <w:rsid w:val="00681DC4"/>
    <w:rPr>
      <w:sz w:val="20"/>
      <w:szCs w:val="20"/>
    </w:rPr>
  </w:style>
  <w:style w:type="character" w:customStyle="1" w:styleId="CommentTextChar">
    <w:name w:val="Comment Text Char"/>
    <w:basedOn w:val="DefaultParagraphFont"/>
    <w:link w:val="CommentText"/>
    <w:semiHidden/>
    <w:rsid w:val="00681DC4"/>
  </w:style>
  <w:style w:type="paragraph" w:styleId="CommentSubject">
    <w:name w:val="annotation subject"/>
    <w:basedOn w:val="CommentText"/>
    <w:next w:val="CommentText"/>
    <w:link w:val="CommentSubjectChar"/>
    <w:semiHidden/>
    <w:unhideWhenUsed/>
    <w:rsid w:val="00681DC4"/>
    <w:rPr>
      <w:b/>
      <w:bCs/>
    </w:rPr>
  </w:style>
  <w:style w:type="character" w:customStyle="1" w:styleId="CommentSubjectChar">
    <w:name w:val="Comment Subject Char"/>
    <w:basedOn w:val="CommentTextChar"/>
    <w:link w:val="CommentSubject"/>
    <w:semiHidden/>
    <w:rsid w:val="00681DC4"/>
    <w:rPr>
      <w:b/>
      <w:bCs/>
    </w:rPr>
  </w:style>
  <w:style w:type="character" w:styleId="Hyperlink">
    <w:name w:val="Hyperlink"/>
    <w:basedOn w:val="DefaultParagraphFont"/>
    <w:unhideWhenUsed/>
    <w:rsid w:val="005F1DBD"/>
    <w:rPr>
      <w:color w:val="0000FF" w:themeColor="hyperlink"/>
      <w:u w:val="single"/>
    </w:rPr>
  </w:style>
  <w:style w:type="character" w:styleId="FollowedHyperlink">
    <w:name w:val="FollowedHyperlink"/>
    <w:basedOn w:val="DefaultParagraphFont"/>
    <w:semiHidden/>
    <w:unhideWhenUsed/>
    <w:rsid w:val="00FA5E8C"/>
    <w:rPr>
      <w:color w:val="800080" w:themeColor="followedHyperlink"/>
      <w:u w:val="single"/>
    </w:rPr>
  </w:style>
  <w:style w:type="paragraph" w:styleId="Revision">
    <w:name w:val="Revision"/>
    <w:hidden/>
    <w:uiPriority w:val="99"/>
    <w:semiHidden/>
    <w:rsid w:val="005A3AF9"/>
    <w:rPr>
      <w:sz w:val="24"/>
      <w:szCs w:val="24"/>
    </w:rPr>
  </w:style>
  <w:style w:type="paragraph" w:customStyle="1" w:styleId="Default">
    <w:name w:val="Default"/>
    <w:rsid w:val="00F85A31"/>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1239</Words>
  <Characters>6529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BA - SB00696 (Committee Report (Substituted))</vt:lpstr>
    </vt:vector>
  </TitlesOfParts>
  <Company>State of Texas</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25434</dc:subject>
  <dc:creator>State of Texas</dc:creator>
  <dc:description>SB 696 by Zaffirini-(H)Ways &amp; Means</dc:description>
  <cp:lastModifiedBy>Damian Duarte</cp:lastModifiedBy>
  <cp:revision>2</cp:revision>
  <cp:lastPrinted>2003-11-26T17:21:00Z</cp:lastPrinted>
  <dcterms:created xsi:type="dcterms:W3CDTF">2021-05-11T21:49:00Z</dcterms:created>
  <dcterms:modified xsi:type="dcterms:W3CDTF">2021-05-11T21:49:00Z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21.130.378</vt:lpwstr>
  </property>
</Properties>
</file>