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F48EE" w14:paraId="173C3F41" w14:textId="77777777" w:rsidTr="00345119">
        <w:tc>
          <w:tcPr>
            <w:tcW w:w="9576" w:type="dxa"/>
            <w:noWrap/>
          </w:tcPr>
          <w:p w14:paraId="04E318D4" w14:textId="77777777" w:rsidR="008423E4" w:rsidRPr="0022177D" w:rsidRDefault="007F782B" w:rsidP="004B34E2">
            <w:pPr>
              <w:pStyle w:val="Heading1"/>
            </w:pPr>
            <w:bookmarkStart w:id="0" w:name="_GoBack"/>
            <w:bookmarkEnd w:id="0"/>
            <w:r w:rsidRPr="00631897">
              <w:t>BILL ANALYSIS</w:t>
            </w:r>
          </w:p>
        </w:tc>
      </w:tr>
    </w:tbl>
    <w:p w14:paraId="7D5369F7" w14:textId="77777777" w:rsidR="008423E4" w:rsidRPr="0022177D" w:rsidRDefault="008423E4" w:rsidP="004B34E2">
      <w:pPr>
        <w:jc w:val="center"/>
      </w:pPr>
    </w:p>
    <w:p w14:paraId="04152245" w14:textId="77777777" w:rsidR="008423E4" w:rsidRPr="00B31F0E" w:rsidRDefault="008423E4" w:rsidP="004B34E2"/>
    <w:p w14:paraId="39D05628" w14:textId="77777777" w:rsidR="008423E4" w:rsidRPr="00742794" w:rsidRDefault="008423E4" w:rsidP="004B34E2">
      <w:pPr>
        <w:tabs>
          <w:tab w:val="right" w:pos="9360"/>
        </w:tabs>
      </w:pPr>
    </w:p>
    <w:tbl>
      <w:tblPr>
        <w:tblW w:w="0" w:type="auto"/>
        <w:tblLayout w:type="fixed"/>
        <w:tblLook w:val="01E0" w:firstRow="1" w:lastRow="1" w:firstColumn="1" w:lastColumn="1" w:noHBand="0" w:noVBand="0"/>
      </w:tblPr>
      <w:tblGrid>
        <w:gridCol w:w="9576"/>
      </w:tblGrid>
      <w:tr w:rsidR="000F48EE" w14:paraId="1A93B201" w14:textId="77777777" w:rsidTr="00345119">
        <w:tc>
          <w:tcPr>
            <w:tcW w:w="9576" w:type="dxa"/>
          </w:tcPr>
          <w:p w14:paraId="08861301" w14:textId="54BCE2A1" w:rsidR="008423E4" w:rsidRPr="00861995" w:rsidRDefault="007F782B" w:rsidP="004B34E2">
            <w:pPr>
              <w:jc w:val="right"/>
            </w:pPr>
            <w:r>
              <w:t>C.S.S.B. 705</w:t>
            </w:r>
          </w:p>
        </w:tc>
      </w:tr>
      <w:tr w:rsidR="000F48EE" w14:paraId="1228CA56" w14:textId="77777777" w:rsidTr="00345119">
        <w:tc>
          <w:tcPr>
            <w:tcW w:w="9576" w:type="dxa"/>
          </w:tcPr>
          <w:p w14:paraId="2F20A363" w14:textId="17A4F430" w:rsidR="008423E4" w:rsidRPr="00861995" w:rsidRDefault="007F782B" w:rsidP="004B34E2">
            <w:pPr>
              <w:jc w:val="right"/>
            </w:pPr>
            <w:r>
              <w:t xml:space="preserve">By: </w:t>
            </w:r>
            <w:r w:rsidR="002162E7">
              <w:t>Lucio</w:t>
            </w:r>
          </w:p>
        </w:tc>
      </w:tr>
      <w:tr w:rsidR="000F48EE" w14:paraId="5384AC2A" w14:textId="77777777" w:rsidTr="00345119">
        <w:tc>
          <w:tcPr>
            <w:tcW w:w="9576" w:type="dxa"/>
          </w:tcPr>
          <w:p w14:paraId="41E6EFA7" w14:textId="3677F384" w:rsidR="008423E4" w:rsidRPr="00861995" w:rsidRDefault="007F782B" w:rsidP="004B34E2">
            <w:pPr>
              <w:jc w:val="right"/>
            </w:pPr>
            <w:r>
              <w:t>Agriculture &amp; Livestock</w:t>
            </w:r>
          </w:p>
        </w:tc>
      </w:tr>
      <w:tr w:rsidR="000F48EE" w14:paraId="2295EEA9" w14:textId="77777777" w:rsidTr="00345119">
        <w:tc>
          <w:tcPr>
            <w:tcW w:w="9576" w:type="dxa"/>
          </w:tcPr>
          <w:p w14:paraId="23CDA093" w14:textId="44CFE182" w:rsidR="008423E4" w:rsidRDefault="007F782B" w:rsidP="004B34E2">
            <w:pPr>
              <w:jc w:val="right"/>
            </w:pPr>
            <w:r>
              <w:t>Committee Report (Substituted)</w:t>
            </w:r>
          </w:p>
        </w:tc>
      </w:tr>
    </w:tbl>
    <w:p w14:paraId="6CF19944" w14:textId="77777777" w:rsidR="008423E4" w:rsidRDefault="008423E4" w:rsidP="004B34E2">
      <w:pPr>
        <w:tabs>
          <w:tab w:val="right" w:pos="9360"/>
        </w:tabs>
      </w:pPr>
    </w:p>
    <w:p w14:paraId="0B91B7AC" w14:textId="77777777" w:rsidR="008423E4" w:rsidRDefault="008423E4" w:rsidP="004B34E2"/>
    <w:p w14:paraId="703FFF99" w14:textId="77777777" w:rsidR="008423E4" w:rsidRDefault="008423E4" w:rsidP="004B34E2"/>
    <w:tbl>
      <w:tblPr>
        <w:tblW w:w="0" w:type="auto"/>
        <w:tblCellMar>
          <w:left w:w="115" w:type="dxa"/>
          <w:right w:w="115" w:type="dxa"/>
        </w:tblCellMar>
        <w:tblLook w:val="01E0" w:firstRow="1" w:lastRow="1" w:firstColumn="1" w:lastColumn="1" w:noHBand="0" w:noVBand="0"/>
      </w:tblPr>
      <w:tblGrid>
        <w:gridCol w:w="9360"/>
      </w:tblGrid>
      <w:tr w:rsidR="000F48EE" w14:paraId="5E694134" w14:textId="77777777" w:rsidTr="00CF2D2E">
        <w:tc>
          <w:tcPr>
            <w:tcW w:w="9360" w:type="dxa"/>
          </w:tcPr>
          <w:p w14:paraId="623D80AC" w14:textId="77777777" w:rsidR="008423E4" w:rsidRPr="00A8133F" w:rsidRDefault="007F782B" w:rsidP="004B34E2">
            <w:pPr>
              <w:rPr>
                <w:b/>
              </w:rPr>
            </w:pPr>
            <w:r w:rsidRPr="009C1E9A">
              <w:rPr>
                <w:b/>
                <w:u w:val="single"/>
              </w:rPr>
              <w:t>BACKGROUND AND PURPOSE</w:t>
            </w:r>
            <w:r>
              <w:rPr>
                <w:b/>
              </w:rPr>
              <w:t xml:space="preserve"> </w:t>
            </w:r>
          </w:p>
          <w:p w14:paraId="6C7E3C7E" w14:textId="77777777" w:rsidR="008423E4" w:rsidRDefault="008423E4" w:rsidP="004B34E2"/>
          <w:p w14:paraId="3F80C07B" w14:textId="1A26C6AD" w:rsidR="003436A6" w:rsidRDefault="007F782B" w:rsidP="004B34E2">
            <w:pPr>
              <w:pStyle w:val="Header"/>
              <w:jc w:val="both"/>
            </w:pPr>
            <w:r w:rsidRPr="00353B38">
              <w:t xml:space="preserve">The Texas Animal Health Commission (TAHC) works to ensure the health and marketability of the animal agriculture industry </w:t>
            </w:r>
            <w:r>
              <w:t xml:space="preserve">in Texas </w:t>
            </w:r>
            <w:r w:rsidRPr="00353B38">
              <w:t xml:space="preserve">by protecting livestock and fowl from foreign and domestic diseases and controlling the spread of outbreaks that occur. </w:t>
            </w:r>
            <w:r>
              <w:t>Following review by t</w:t>
            </w:r>
            <w:r w:rsidRPr="00353B38">
              <w:t xml:space="preserve">he Sunset </w:t>
            </w:r>
            <w:r>
              <w:t xml:space="preserve">Advisory </w:t>
            </w:r>
            <w:r w:rsidRPr="00353B38">
              <w:t>Commission</w:t>
            </w:r>
            <w:r>
              <w:t xml:space="preserve"> as part of the 2020-2021 sunset review cycle, the sunset commission</w:t>
            </w:r>
            <w:r w:rsidRPr="00353B38">
              <w:t xml:space="preserve"> found </w:t>
            </w:r>
            <w:r>
              <w:t>th</w:t>
            </w:r>
            <w:r>
              <w:t xml:space="preserve">at the </w:t>
            </w:r>
            <w:r w:rsidRPr="00353B38">
              <w:t>TAHC remains necessary and recommends continuing it for 12 years as an independent, standalone agency</w:t>
            </w:r>
            <w:r w:rsidR="00FD02AE">
              <w:t xml:space="preserve">. However, the commission </w:t>
            </w:r>
            <w:r w:rsidRPr="00353B38">
              <w:t xml:space="preserve">also recognized </w:t>
            </w:r>
            <w:r>
              <w:t xml:space="preserve">that the </w:t>
            </w:r>
            <w:r w:rsidRPr="00353B38">
              <w:t xml:space="preserve">TAHC has not fully kept up with </w:t>
            </w:r>
            <w:r>
              <w:t xml:space="preserve">shifting disease landscapes. </w:t>
            </w:r>
          </w:p>
          <w:p w14:paraId="4FF16C44" w14:textId="77777777" w:rsidR="003436A6" w:rsidRDefault="003436A6" w:rsidP="004B34E2">
            <w:pPr>
              <w:pStyle w:val="Header"/>
              <w:jc w:val="both"/>
            </w:pPr>
          </w:p>
          <w:p w14:paraId="05BAF05B" w14:textId="13FC4C26" w:rsidR="003436A6" w:rsidRDefault="007F782B" w:rsidP="004B34E2">
            <w:pPr>
              <w:pStyle w:val="Header"/>
              <w:jc w:val="both"/>
            </w:pPr>
            <w:r w:rsidRPr="00353B38">
              <w:t>One of the most significant shifts</w:t>
            </w:r>
            <w:r w:rsidRPr="00353B38">
              <w:t xml:space="preserve"> occurred in recent years as Texas was declared free of cattle brucellosis and federal funding to test for this disease was eliminated, significantly reducing the workload of </w:t>
            </w:r>
            <w:r w:rsidR="008D3608">
              <w:t xml:space="preserve">the </w:t>
            </w:r>
            <w:r w:rsidR="00FC0D53" w:rsidRPr="00353B38">
              <w:t>TAHC</w:t>
            </w:r>
            <w:r w:rsidR="00FC0D53">
              <w:t>'</w:t>
            </w:r>
            <w:r w:rsidR="00FC0D53" w:rsidRPr="00353B38">
              <w:t xml:space="preserve">s </w:t>
            </w:r>
            <w:r w:rsidRPr="00353B38">
              <w:t xml:space="preserve">lab. Due to the reduction in workload and other problems, the </w:t>
            </w:r>
            <w:r>
              <w:t xml:space="preserve">sunset </w:t>
            </w:r>
            <w:r w:rsidRPr="00353B38">
              <w:t>c</w:t>
            </w:r>
            <w:r w:rsidRPr="00353B38">
              <w:t xml:space="preserve">ommission determined </w:t>
            </w:r>
            <w:r>
              <w:t xml:space="preserve">that the </w:t>
            </w:r>
            <w:r w:rsidRPr="00353B38">
              <w:t>TAHC lab is no longer cost-effective or needed, particularly when the better-equipped Texas A&amp;M Veterinary Medical Diagnostic Laboratory is capable of serving as the state</w:t>
            </w:r>
            <w:r w:rsidR="008D3608">
              <w:t>'</w:t>
            </w:r>
            <w:r w:rsidRPr="00353B38">
              <w:t xml:space="preserve">s regulatory animal health lab. </w:t>
            </w:r>
          </w:p>
          <w:p w14:paraId="06A98C4D" w14:textId="77777777" w:rsidR="003436A6" w:rsidRDefault="003436A6" w:rsidP="004B34E2">
            <w:pPr>
              <w:pStyle w:val="Header"/>
              <w:jc w:val="both"/>
            </w:pPr>
          </w:p>
          <w:p w14:paraId="41E3B133" w14:textId="301D7062" w:rsidR="008423E4" w:rsidRDefault="007F782B" w:rsidP="004B34E2">
            <w:pPr>
              <w:pStyle w:val="Header"/>
              <w:jc w:val="both"/>
            </w:pPr>
            <w:r w:rsidRPr="00353B38">
              <w:t xml:space="preserve">The </w:t>
            </w:r>
            <w:r>
              <w:t xml:space="preserve">sunset </w:t>
            </w:r>
            <w:r w:rsidRPr="00353B38">
              <w:t>commissio</w:t>
            </w:r>
            <w:r w:rsidRPr="00353B38">
              <w:t>n also recognized a need to bring the</w:t>
            </w:r>
            <w:r>
              <w:t xml:space="preserve"> TAHC's regulations </w:t>
            </w:r>
            <w:r w:rsidRPr="00353B38">
              <w:t>and operations in line with current best practices for disease and pest management</w:t>
            </w:r>
            <w:r>
              <w:t xml:space="preserve"> and</w:t>
            </w:r>
            <w:r w:rsidRPr="00353B38">
              <w:t xml:space="preserve"> to strengthen and improve the consistency of its investigation and enforcement activities across its six regions</w:t>
            </w:r>
            <w:r w:rsidRPr="00353B38">
              <w:t xml:space="preserve"> to better mitigate the risk of disease outbreak in Texas.</w:t>
            </w:r>
            <w:r>
              <w:t xml:space="preserve"> C.S.S.B. 705 seeks to continue the TAHC with statutory modifications aimed at acting on certain of the sunset commission's findings</w:t>
            </w:r>
            <w:r w:rsidR="00B67D31">
              <w:t xml:space="preserve"> and recommendations</w:t>
            </w:r>
            <w:r>
              <w:t>.</w:t>
            </w:r>
          </w:p>
          <w:p w14:paraId="5711BC14" w14:textId="77777777" w:rsidR="008423E4" w:rsidRPr="00E26B13" w:rsidRDefault="008423E4" w:rsidP="004B34E2">
            <w:pPr>
              <w:rPr>
                <w:b/>
              </w:rPr>
            </w:pPr>
          </w:p>
        </w:tc>
      </w:tr>
      <w:tr w:rsidR="000F48EE" w14:paraId="1D1924EB" w14:textId="77777777" w:rsidTr="00CF2D2E">
        <w:tc>
          <w:tcPr>
            <w:tcW w:w="9360" w:type="dxa"/>
          </w:tcPr>
          <w:p w14:paraId="06F73DFD" w14:textId="77777777" w:rsidR="0017725B" w:rsidRDefault="007F782B" w:rsidP="004B34E2">
            <w:pPr>
              <w:rPr>
                <w:b/>
                <w:u w:val="single"/>
              </w:rPr>
            </w:pPr>
            <w:r>
              <w:rPr>
                <w:b/>
                <w:u w:val="single"/>
              </w:rPr>
              <w:t>CRIMINAL JUSTICE IMPACT</w:t>
            </w:r>
          </w:p>
          <w:p w14:paraId="5611BB12" w14:textId="77777777" w:rsidR="0017725B" w:rsidRDefault="0017725B" w:rsidP="004B34E2">
            <w:pPr>
              <w:rPr>
                <w:b/>
                <w:u w:val="single"/>
              </w:rPr>
            </w:pPr>
          </w:p>
          <w:p w14:paraId="0CBAFC1A" w14:textId="0F80403A" w:rsidR="00D77776" w:rsidRPr="00D77776" w:rsidRDefault="007F782B" w:rsidP="004B34E2">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7094F21D" w14:textId="77777777" w:rsidR="0017725B" w:rsidRPr="0017725B" w:rsidRDefault="0017725B" w:rsidP="004B34E2">
            <w:pPr>
              <w:rPr>
                <w:b/>
                <w:u w:val="single"/>
              </w:rPr>
            </w:pPr>
          </w:p>
        </w:tc>
      </w:tr>
      <w:tr w:rsidR="000F48EE" w14:paraId="289DEB69" w14:textId="77777777" w:rsidTr="00CF2D2E">
        <w:tc>
          <w:tcPr>
            <w:tcW w:w="9360" w:type="dxa"/>
          </w:tcPr>
          <w:p w14:paraId="68AA1D6A" w14:textId="77777777" w:rsidR="008423E4" w:rsidRPr="00A8133F" w:rsidRDefault="007F782B" w:rsidP="004B34E2">
            <w:pPr>
              <w:rPr>
                <w:b/>
              </w:rPr>
            </w:pPr>
            <w:r w:rsidRPr="009C1E9A">
              <w:rPr>
                <w:b/>
                <w:u w:val="single"/>
              </w:rPr>
              <w:t>RULEMAKING AUTHORITY</w:t>
            </w:r>
            <w:r>
              <w:rPr>
                <w:b/>
              </w:rPr>
              <w:t xml:space="preserve"> </w:t>
            </w:r>
          </w:p>
          <w:p w14:paraId="613767BD" w14:textId="77777777" w:rsidR="008423E4" w:rsidRDefault="008423E4" w:rsidP="004B34E2"/>
          <w:p w14:paraId="048EDE51" w14:textId="1944EAA9" w:rsidR="00D77776" w:rsidRDefault="007F782B" w:rsidP="004B34E2">
            <w:pPr>
              <w:pStyle w:val="Header"/>
              <w:tabs>
                <w:tab w:val="clear" w:pos="4320"/>
                <w:tab w:val="clear" w:pos="8640"/>
              </w:tabs>
              <w:jc w:val="both"/>
            </w:pPr>
            <w:r>
              <w:t xml:space="preserve">It is the committee's opinion that rulemaking authority is expressly granted to the Texas Animal Health Commission in SECTIONS 6, 8, </w:t>
            </w:r>
            <w:r w:rsidR="00FD729E">
              <w:t xml:space="preserve">11, </w:t>
            </w:r>
            <w:r>
              <w:t>1</w:t>
            </w:r>
            <w:r w:rsidR="00FD729E">
              <w:t>3</w:t>
            </w:r>
            <w:r>
              <w:t>, 1</w:t>
            </w:r>
            <w:r w:rsidR="00FD729E">
              <w:t>5</w:t>
            </w:r>
            <w:r>
              <w:t>, 1</w:t>
            </w:r>
            <w:r w:rsidR="00FD729E">
              <w:t>7</w:t>
            </w:r>
            <w:r>
              <w:t>, and 2</w:t>
            </w:r>
            <w:r w:rsidR="00FD729E">
              <w:t>4</w:t>
            </w:r>
            <w:r>
              <w:t xml:space="preserve"> of this bill.</w:t>
            </w:r>
          </w:p>
          <w:p w14:paraId="2B139092" w14:textId="77777777" w:rsidR="008423E4" w:rsidRPr="00E21FDC" w:rsidRDefault="008423E4" w:rsidP="004B34E2">
            <w:pPr>
              <w:rPr>
                <w:b/>
              </w:rPr>
            </w:pPr>
          </w:p>
        </w:tc>
      </w:tr>
      <w:tr w:rsidR="000F48EE" w14:paraId="10F2A759" w14:textId="77777777" w:rsidTr="00CF2D2E">
        <w:tc>
          <w:tcPr>
            <w:tcW w:w="9360" w:type="dxa"/>
          </w:tcPr>
          <w:p w14:paraId="4D5CE1BA" w14:textId="77777777" w:rsidR="008423E4" w:rsidRPr="00A8133F" w:rsidRDefault="007F782B" w:rsidP="004B34E2">
            <w:pPr>
              <w:rPr>
                <w:b/>
              </w:rPr>
            </w:pPr>
            <w:r w:rsidRPr="009C1E9A">
              <w:rPr>
                <w:b/>
                <w:u w:val="single"/>
              </w:rPr>
              <w:t>ANALYSIS</w:t>
            </w:r>
            <w:r>
              <w:rPr>
                <w:b/>
              </w:rPr>
              <w:t xml:space="preserve"> </w:t>
            </w:r>
          </w:p>
          <w:p w14:paraId="7F4C7A74" w14:textId="77777777" w:rsidR="008423E4" w:rsidRDefault="008423E4" w:rsidP="004B34E2"/>
          <w:p w14:paraId="3402A4D5" w14:textId="3B2C84A9" w:rsidR="009C36CD" w:rsidRDefault="007F782B" w:rsidP="004B34E2">
            <w:pPr>
              <w:pStyle w:val="Header"/>
              <w:tabs>
                <w:tab w:val="clear" w:pos="4320"/>
                <w:tab w:val="clear" w:pos="8640"/>
              </w:tabs>
              <w:jc w:val="both"/>
            </w:pPr>
            <w:r>
              <w:t xml:space="preserve">C.S.S.B. 705 </w:t>
            </w:r>
            <w:r w:rsidR="0094561B">
              <w:t>amends the Agriculture Code to continue the Texas Animal Health Commission (TAHC) until September 1, 2033. With respect to the TAHC, the bill</w:t>
            </w:r>
            <w:r w:rsidR="00E35A34">
              <w:t xml:space="preserve"> also</w:t>
            </w:r>
            <w:r w:rsidR="0094561B">
              <w:t xml:space="preserve"> does the following:</w:t>
            </w:r>
          </w:p>
          <w:p w14:paraId="596C3A5B" w14:textId="77777777" w:rsidR="00052FAF" w:rsidRDefault="007F782B" w:rsidP="004B34E2">
            <w:pPr>
              <w:pStyle w:val="Header"/>
              <w:numPr>
                <w:ilvl w:val="0"/>
                <w:numId w:val="1"/>
              </w:numPr>
              <w:jc w:val="both"/>
            </w:pPr>
            <w:r>
              <w:t>regarding TAHC member training:</w:t>
            </w:r>
          </w:p>
          <w:p w14:paraId="7E49C96C" w14:textId="6F608B1E" w:rsidR="00864FE2" w:rsidRDefault="007F782B" w:rsidP="004B34E2">
            <w:pPr>
              <w:pStyle w:val="Header"/>
              <w:numPr>
                <w:ilvl w:val="1"/>
                <w:numId w:val="1"/>
              </w:numPr>
              <w:jc w:val="both"/>
            </w:pPr>
            <w:r>
              <w:t>revises</w:t>
            </w:r>
            <w:r w:rsidRPr="00666571">
              <w:t xml:space="preserve"> provisions related to member training and provide</w:t>
            </w:r>
            <w:r>
              <w:t>s</w:t>
            </w:r>
            <w:r w:rsidRPr="00666571">
              <w:t xml:space="preserve"> for the creation of a related training manual that each member must acknowledge having received and reviewed</w:t>
            </w:r>
            <w:r>
              <w:t>; and</w:t>
            </w:r>
          </w:p>
          <w:p w14:paraId="647A6069" w14:textId="65C5E8E5" w:rsidR="0094561B" w:rsidRDefault="007F782B" w:rsidP="004B34E2">
            <w:pPr>
              <w:pStyle w:val="Header"/>
              <w:numPr>
                <w:ilvl w:val="1"/>
                <w:numId w:val="1"/>
              </w:numPr>
              <w:tabs>
                <w:tab w:val="clear" w:pos="4320"/>
                <w:tab w:val="clear" w:pos="8640"/>
              </w:tabs>
              <w:jc w:val="both"/>
            </w:pPr>
            <w:r w:rsidRPr="00666571">
              <w:t>provide</w:t>
            </w:r>
            <w:r>
              <w:t>s</w:t>
            </w:r>
            <w:r w:rsidRPr="00666571">
              <w:t xml:space="preserve"> for the transition to the new training requirements for </w:t>
            </w:r>
            <w:r>
              <w:t xml:space="preserve">members appointed before </w:t>
            </w:r>
            <w:r w:rsidRPr="00666571">
              <w:t>the bill's effective date</w:t>
            </w:r>
            <w:r>
              <w:t>;</w:t>
            </w:r>
          </w:p>
          <w:p w14:paraId="45CF76CC" w14:textId="4626ACC7" w:rsidR="00864FE2" w:rsidRDefault="007F782B" w:rsidP="004B34E2">
            <w:pPr>
              <w:pStyle w:val="Header"/>
              <w:numPr>
                <w:ilvl w:val="0"/>
                <w:numId w:val="1"/>
              </w:numPr>
              <w:tabs>
                <w:tab w:val="clear" w:pos="4320"/>
                <w:tab w:val="clear" w:pos="8640"/>
              </w:tabs>
              <w:jc w:val="both"/>
            </w:pPr>
            <w:r>
              <w:t>updates provisions esta</w:t>
            </w:r>
            <w:r>
              <w:t>blishing the grounds for removing a TAHC member and provisions relating to TAHC complaint procedures to apply standard sunset good government provisions;</w:t>
            </w:r>
          </w:p>
          <w:p w14:paraId="52209333" w14:textId="03A0D8E1" w:rsidR="00864FE2" w:rsidRDefault="007F782B" w:rsidP="004B34E2">
            <w:pPr>
              <w:pStyle w:val="Header"/>
              <w:numPr>
                <w:ilvl w:val="0"/>
                <w:numId w:val="1"/>
              </w:numPr>
              <w:tabs>
                <w:tab w:val="clear" w:pos="4320"/>
                <w:tab w:val="clear" w:pos="8640"/>
              </w:tabs>
              <w:jc w:val="both"/>
            </w:pPr>
            <w:r>
              <w:t>authorizes the TAHC to establish advisory committees by rule</w:t>
            </w:r>
            <w:r>
              <w:t xml:space="preserve"> to make recommendations on programs, rules, and policies administered by the TAHC</w:t>
            </w:r>
            <w:r w:rsidR="00CF523A">
              <w:t xml:space="preserve"> and repeals </w:t>
            </w:r>
            <w:r w:rsidR="00C661C4">
              <w:t xml:space="preserve">the provision establishing that a </w:t>
            </w:r>
            <w:r w:rsidR="0030373E">
              <w:t xml:space="preserve">member of a TAHC </w:t>
            </w:r>
            <w:r w:rsidR="00C661C4" w:rsidRPr="00C661C4">
              <w:t xml:space="preserve">advisory committee is not </w:t>
            </w:r>
            <w:r w:rsidR="0030373E">
              <w:t>entitled to compensation</w:t>
            </w:r>
            <w:r>
              <w:t>;</w:t>
            </w:r>
          </w:p>
          <w:p w14:paraId="1D0CA170" w14:textId="40D9E9CA" w:rsidR="003B0619" w:rsidRDefault="007F782B" w:rsidP="004B34E2">
            <w:pPr>
              <w:pStyle w:val="Header"/>
              <w:numPr>
                <w:ilvl w:val="0"/>
                <w:numId w:val="1"/>
              </w:numPr>
              <w:tabs>
                <w:tab w:val="clear" w:pos="4320"/>
                <w:tab w:val="clear" w:pos="8640"/>
              </w:tabs>
              <w:jc w:val="both"/>
            </w:pPr>
            <w:r>
              <w:t xml:space="preserve">provides for a periodic review of </w:t>
            </w:r>
            <w:r>
              <w:t xml:space="preserve">certain compliance data by </w:t>
            </w:r>
            <w:r w:rsidR="00864FE2">
              <w:t>requ</w:t>
            </w:r>
            <w:r>
              <w:t>iring</w:t>
            </w:r>
            <w:r w:rsidR="00864FE2">
              <w:t xml:space="preserve"> the TAHC to</w:t>
            </w:r>
            <w:r>
              <w:t xml:space="preserve"> do the following:</w:t>
            </w:r>
          </w:p>
          <w:p w14:paraId="33ED8823" w14:textId="70C6C2CF" w:rsidR="00864FE2" w:rsidRDefault="007F782B" w:rsidP="004B34E2">
            <w:pPr>
              <w:pStyle w:val="Header"/>
              <w:numPr>
                <w:ilvl w:val="1"/>
                <w:numId w:val="1"/>
              </w:numPr>
              <w:tabs>
                <w:tab w:val="clear" w:pos="4320"/>
                <w:tab w:val="clear" w:pos="8640"/>
              </w:tabs>
              <w:jc w:val="both"/>
            </w:pPr>
            <w:r>
              <w:t>analyze, on a statewide and regional basis, violations of provisions governing the control of animal diseases and pests</w:t>
            </w:r>
            <w:r w:rsidR="003B0619">
              <w:t xml:space="preserve"> on a periodic basis to ensure the information reflects current enforcement practices</w:t>
            </w:r>
            <w:r w:rsidR="008172AD">
              <w:t xml:space="preserve">, with the initial analysis </w:t>
            </w:r>
            <w:r w:rsidR="00DB52E4">
              <w:t>to be</w:t>
            </w:r>
            <w:r w:rsidR="008172AD">
              <w:t xml:space="preserve"> complet</w:t>
            </w:r>
            <w:r w:rsidR="00DB52E4">
              <w:t>ed</w:t>
            </w:r>
            <w:r w:rsidR="008172AD">
              <w:t xml:space="preserve"> not later than March 1, 2022</w:t>
            </w:r>
            <w:r w:rsidR="003B0619">
              <w:t>;</w:t>
            </w:r>
          </w:p>
          <w:p w14:paraId="3AAF6179" w14:textId="04299BBC" w:rsidR="003B0619" w:rsidRDefault="007F782B" w:rsidP="004B34E2">
            <w:pPr>
              <w:pStyle w:val="Header"/>
              <w:numPr>
                <w:ilvl w:val="1"/>
                <w:numId w:val="1"/>
              </w:numPr>
              <w:tabs>
                <w:tab w:val="clear" w:pos="4320"/>
                <w:tab w:val="clear" w:pos="8640"/>
              </w:tabs>
              <w:jc w:val="both"/>
            </w:pPr>
            <w:r>
              <w:t>use that analysis to compare enforcement practice</w:t>
            </w:r>
            <w:r w:rsidR="0030373E">
              <w:t>s</w:t>
            </w:r>
            <w:r>
              <w:t xml:space="preserve"> across each region and determine training needs, gaps in enforcement authority, and effective enforcement activities</w:t>
            </w:r>
            <w:r>
              <w:t>; and</w:t>
            </w:r>
          </w:p>
          <w:p w14:paraId="447CD67C" w14:textId="11DA1899" w:rsidR="003B0619" w:rsidRDefault="007F782B" w:rsidP="004B34E2">
            <w:pPr>
              <w:pStyle w:val="Header"/>
              <w:numPr>
                <w:ilvl w:val="1"/>
                <w:numId w:val="1"/>
              </w:numPr>
              <w:tabs>
                <w:tab w:val="clear" w:pos="4320"/>
                <w:tab w:val="clear" w:pos="8640"/>
              </w:tabs>
              <w:jc w:val="both"/>
            </w:pPr>
            <w:r>
              <w:t xml:space="preserve">timely enter and share compliance and enforcement information on </w:t>
            </w:r>
            <w:r w:rsidR="00DB52E4">
              <w:t>a statewide and regional basis;</w:t>
            </w:r>
          </w:p>
          <w:p w14:paraId="3FA75CD4" w14:textId="503997CE" w:rsidR="003B0619" w:rsidRDefault="007F782B" w:rsidP="004B34E2">
            <w:pPr>
              <w:pStyle w:val="Header"/>
              <w:numPr>
                <w:ilvl w:val="0"/>
                <w:numId w:val="1"/>
              </w:numPr>
              <w:tabs>
                <w:tab w:val="clear" w:pos="4320"/>
                <w:tab w:val="clear" w:pos="8640"/>
              </w:tabs>
              <w:jc w:val="both"/>
            </w:pPr>
            <w:r>
              <w:t>removes a statutorily prescribed list of diseases from which the TAHC is tasked with protecting all livestock, exotic livestock,</w:t>
            </w:r>
            <w:r w:rsidR="0010712F">
              <w:t xml:space="preserve"> and domestic and exotic fowl and requires the TAHC instead to adopt</w:t>
            </w:r>
            <w:r w:rsidR="00E35A34">
              <w:t>, not later than March 1, 2022,</w:t>
            </w:r>
            <w:r w:rsidR="0010712F">
              <w:t xml:space="preserve"> and periodically update rules listing </w:t>
            </w:r>
            <w:r w:rsidR="00B4296D">
              <w:t xml:space="preserve">the </w:t>
            </w:r>
            <w:r w:rsidR="0010712F">
              <w:t>disease</w:t>
            </w:r>
            <w:r w:rsidR="00B4296D">
              <w:t>s</w:t>
            </w:r>
            <w:r w:rsidR="0010712F">
              <w:t xml:space="preserve"> that require control and eradication from which those animals must be protected;</w:t>
            </w:r>
          </w:p>
          <w:p w14:paraId="2C55835B" w14:textId="2218B688" w:rsidR="0010712F" w:rsidRDefault="007F782B" w:rsidP="004B34E2">
            <w:pPr>
              <w:pStyle w:val="Header"/>
              <w:numPr>
                <w:ilvl w:val="0"/>
                <w:numId w:val="1"/>
              </w:numPr>
              <w:tabs>
                <w:tab w:val="clear" w:pos="4320"/>
                <w:tab w:val="clear" w:pos="8640"/>
              </w:tabs>
              <w:jc w:val="both"/>
            </w:pPr>
            <w:r>
              <w:t>replaces the requirement for the TAHC to establis</w:t>
            </w:r>
            <w:r>
              <w:t>h a quarantine against all or the portion of a state, territory, or country in which an applicable disease exists with an authorization to do so and removes a requirement for the TAHC to establish a quarantine on affected animals or affected places in Texa</w:t>
            </w:r>
            <w:r>
              <w:t>s;</w:t>
            </w:r>
          </w:p>
          <w:p w14:paraId="291F3D00" w14:textId="61A1C501" w:rsidR="009B5138" w:rsidRDefault="007F782B" w:rsidP="004B34E2">
            <w:pPr>
              <w:pStyle w:val="Header"/>
              <w:numPr>
                <w:ilvl w:val="0"/>
                <w:numId w:val="1"/>
              </w:numPr>
              <w:tabs>
                <w:tab w:val="clear" w:pos="4320"/>
                <w:tab w:val="clear" w:pos="8640"/>
              </w:tabs>
              <w:jc w:val="both"/>
            </w:pPr>
            <w:r>
              <w:t>authorizes the TAHC by rule to delegate its authority to establish a quarantine to the executive director</w:t>
            </w:r>
            <w:r w:rsidR="000D675E">
              <w:t xml:space="preserve"> of the TAHC</w:t>
            </w:r>
            <w:r>
              <w:t>, who must promptly notify TAHC members when a quarantine is established;</w:t>
            </w:r>
          </w:p>
          <w:p w14:paraId="2421D985" w14:textId="37E9F448" w:rsidR="0010712F" w:rsidRDefault="007F782B" w:rsidP="004B34E2">
            <w:pPr>
              <w:pStyle w:val="Header"/>
              <w:numPr>
                <w:ilvl w:val="0"/>
                <w:numId w:val="1"/>
              </w:numPr>
              <w:tabs>
                <w:tab w:val="clear" w:pos="4320"/>
                <w:tab w:val="clear" w:pos="8640"/>
              </w:tabs>
              <w:jc w:val="both"/>
            </w:pPr>
            <w:r>
              <w:t>removes a statutorily prescribed list of diseases the existenc</w:t>
            </w:r>
            <w:r>
              <w:t xml:space="preserve">e of which </w:t>
            </w:r>
            <w:r w:rsidR="0056299D">
              <w:t xml:space="preserve">in certain animals </w:t>
            </w:r>
            <w:r>
              <w:t xml:space="preserve">a veterinarian, veterinary diagnostic laboratory, or person having care, custody, or control of </w:t>
            </w:r>
            <w:r w:rsidR="0056299D">
              <w:t>the</w:t>
            </w:r>
            <w:r>
              <w:t xml:space="preserve"> animal</w:t>
            </w:r>
            <w:r w:rsidR="0056299D">
              <w:t xml:space="preserve"> must report to the TAHC and requires the TAHC instead to adopt </w:t>
            </w:r>
            <w:r w:rsidR="00B00003">
              <w:t xml:space="preserve">not later than March 1, 2022, </w:t>
            </w:r>
            <w:r w:rsidR="0056299D">
              <w:t>and periodically update rules listing the diseases that the TAHC determines require reporting;</w:t>
            </w:r>
          </w:p>
          <w:p w14:paraId="504DDD05" w14:textId="68DFC946" w:rsidR="00052FAF" w:rsidRDefault="007F782B" w:rsidP="004B34E2">
            <w:pPr>
              <w:pStyle w:val="Header"/>
              <w:numPr>
                <w:ilvl w:val="0"/>
                <w:numId w:val="1"/>
              </w:numPr>
              <w:tabs>
                <w:tab w:val="clear" w:pos="4320"/>
                <w:tab w:val="clear" w:pos="8640"/>
              </w:tabs>
              <w:jc w:val="both"/>
            </w:pPr>
            <w:r>
              <w:t>regarding diseases recognized by the USDA as a reportable animal disease:</w:t>
            </w:r>
          </w:p>
          <w:p w14:paraId="254D521D" w14:textId="7CBC057F" w:rsidR="009B5138" w:rsidRDefault="007F782B" w:rsidP="004B34E2">
            <w:pPr>
              <w:pStyle w:val="Header"/>
              <w:numPr>
                <w:ilvl w:val="1"/>
                <w:numId w:val="1"/>
              </w:numPr>
              <w:tabs>
                <w:tab w:val="clear" w:pos="4320"/>
                <w:tab w:val="clear" w:pos="8640"/>
              </w:tabs>
              <w:jc w:val="both"/>
            </w:pPr>
            <w:r>
              <w:t xml:space="preserve">authorizes the TAHC by order to require the slaughter of </w:t>
            </w:r>
            <w:r w:rsidRPr="009B5138">
              <w:t>livestock,</w:t>
            </w:r>
            <w:r>
              <w:t xml:space="preserve"> domestic fowl, or exotic fowl</w:t>
            </w:r>
            <w:r w:rsidRPr="009B5138">
              <w:t xml:space="preserve"> or the sale of </w:t>
            </w:r>
            <w:r>
              <w:t>the animal</w:t>
            </w:r>
            <w:r w:rsidRPr="009B5138">
              <w:t xml:space="preserve"> for immediate slaughter at a public slaughtering establishment maintaining federal or state inspection if the </w:t>
            </w:r>
            <w:r>
              <w:t xml:space="preserve">animal </w:t>
            </w:r>
            <w:r w:rsidRPr="009B5138">
              <w:t xml:space="preserve">is exposed to or infected with </w:t>
            </w:r>
            <w:r w:rsidR="00052FAF">
              <w:t xml:space="preserve">such </w:t>
            </w:r>
            <w:r w:rsidRPr="009B5138">
              <w:t>a disease</w:t>
            </w:r>
            <w:r>
              <w:t>,</w:t>
            </w:r>
            <w:r w:rsidRPr="009B5138">
              <w:t xml:space="preserve"> other than bluetongue or vesicular stomatitis</w:t>
            </w:r>
            <w:r>
              <w:t>,</w:t>
            </w:r>
            <w:r w:rsidRPr="009B5138">
              <w:t xml:space="preserve"> that</w:t>
            </w:r>
            <w:r>
              <w:t xml:space="preserve"> is recognized by the USDA as </w:t>
            </w:r>
            <w:r>
              <w:t>a reportable animal disease;</w:t>
            </w:r>
            <w:r w:rsidR="001E2866">
              <w:t xml:space="preserve"> and</w:t>
            </w:r>
          </w:p>
          <w:p w14:paraId="42D2DC96" w14:textId="1F702856" w:rsidR="00052FAF" w:rsidRDefault="007F782B" w:rsidP="004B34E2">
            <w:pPr>
              <w:pStyle w:val="Header"/>
              <w:numPr>
                <w:ilvl w:val="1"/>
                <w:numId w:val="1"/>
              </w:numPr>
              <w:tabs>
                <w:tab w:val="clear" w:pos="4320"/>
                <w:tab w:val="clear" w:pos="8640"/>
              </w:tabs>
              <w:jc w:val="both"/>
            </w:pPr>
            <w:r>
              <w:t xml:space="preserve">authorizes the TAHC to adopt rules that require a </w:t>
            </w:r>
            <w:r w:rsidRPr="00052FAF">
              <w:t xml:space="preserve">veterinarian, a veterinary diagnostic laboratory, or a person having care, custody, or control of an animal to report the existence of </w:t>
            </w:r>
            <w:r>
              <w:t>such a</w:t>
            </w:r>
            <w:r w:rsidRPr="00052FAF">
              <w:t xml:space="preserve"> disease</w:t>
            </w:r>
            <w:r>
              <w:t>,</w:t>
            </w:r>
            <w:r w:rsidRPr="00052FAF">
              <w:t xml:space="preserve"> other than bluetongue</w:t>
            </w:r>
            <w:r>
              <w:t>,</w:t>
            </w:r>
            <w:r w:rsidRPr="00052FAF">
              <w:t xml:space="preserve"> in an animal to the </w:t>
            </w:r>
            <w:r>
              <w:t>TAHC</w:t>
            </w:r>
            <w:r w:rsidRPr="00052FAF">
              <w:t xml:space="preserve"> within 24 hours after </w:t>
            </w:r>
            <w:r w:rsidR="00790023">
              <w:t>diagnosis;</w:t>
            </w:r>
          </w:p>
          <w:p w14:paraId="384DB3A1" w14:textId="700923C0" w:rsidR="005E7118" w:rsidRDefault="007F782B" w:rsidP="004B34E2">
            <w:pPr>
              <w:pStyle w:val="Header"/>
              <w:numPr>
                <w:ilvl w:val="0"/>
                <w:numId w:val="1"/>
              </w:numPr>
              <w:tabs>
                <w:tab w:val="clear" w:pos="4320"/>
                <w:tab w:val="clear" w:pos="8640"/>
              </w:tabs>
              <w:jc w:val="both"/>
            </w:pPr>
            <w:r>
              <w:t xml:space="preserve">removes a provision setting a rule adopted by the TAHC </w:t>
            </w:r>
            <w:r w:rsidR="00DC289A">
              <w:t>establishing a</w:t>
            </w:r>
            <w:r>
              <w:t xml:space="preserve"> duty to report certain animal diseases</w:t>
            </w:r>
            <w:r w:rsidR="00DC289A">
              <w:t xml:space="preserve"> that are not otherwise reportable</w:t>
            </w:r>
            <w:r>
              <w:t xml:space="preserve"> to expire </w:t>
            </w:r>
            <w:r w:rsidRPr="005E7118">
              <w:t>on the first day after the last day of the f</w:t>
            </w:r>
            <w:r w:rsidRPr="005E7118">
              <w:t>irst regular legislative session that begins after adoption of the rule unless the rule is continued in effect by act of the legislature</w:t>
            </w:r>
            <w:r>
              <w:t>;</w:t>
            </w:r>
          </w:p>
          <w:p w14:paraId="3425E003" w14:textId="51020AA5" w:rsidR="003D5976" w:rsidRDefault="007F782B" w:rsidP="004B34E2">
            <w:pPr>
              <w:pStyle w:val="Header"/>
              <w:numPr>
                <w:ilvl w:val="0"/>
                <w:numId w:val="1"/>
              </w:numPr>
              <w:tabs>
                <w:tab w:val="clear" w:pos="4320"/>
                <w:tab w:val="clear" w:pos="8640"/>
              </w:tabs>
              <w:jc w:val="both"/>
            </w:pPr>
            <w:r>
              <w:t xml:space="preserve">removes </w:t>
            </w:r>
            <w:r w:rsidR="00CF523A">
              <w:t xml:space="preserve">and repeals </w:t>
            </w:r>
            <w:r>
              <w:t xml:space="preserve">statutorily prescribed treatment </w:t>
            </w:r>
            <w:r w:rsidR="00CF523A">
              <w:t xml:space="preserve">methods </w:t>
            </w:r>
            <w:r>
              <w:t xml:space="preserve">for certain diseases and conditions and requires the </w:t>
            </w:r>
            <w:r w:rsidR="00D869BF">
              <w:t xml:space="preserve">TAHC </w:t>
            </w:r>
            <w:r>
              <w:t xml:space="preserve">instead to adopt rules </w:t>
            </w:r>
            <w:r w:rsidR="00B00003">
              <w:t xml:space="preserve">not later than March 1, 2022, </w:t>
            </w:r>
            <w:r>
              <w:t>for testing, treatment, or vaccination under provisions governing the control of animal disease and pests, including with respect to the methods of treatment available for scabies;</w:t>
            </w:r>
          </w:p>
          <w:p w14:paraId="130C24AB" w14:textId="4208AFE0" w:rsidR="00347927" w:rsidRDefault="007F782B" w:rsidP="004B34E2">
            <w:pPr>
              <w:pStyle w:val="Header"/>
              <w:numPr>
                <w:ilvl w:val="0"/>
                <w:numId w:val="1"/>
              </w:numPr>
              <w:tabs>
                <w:tab w:val="clear" w:pos="4320"/>
                <w:tab w:val="clear" w:pos="8640"/>
              </w:tabs>
              <w:jc w:val="both"/>
            </w:pPr>
            <w:r>
              <w:t>replaces the requirem</w:t>
            </w:r>
            <w:r>
              <w:t>ent for the TAHC to establish a quarantine against all or the portion of a state, territory, or count</w:t>
            </w:r>
            <w:r w:rsidR="00FA5671">
              <w:t>r</w:t>
            </w:r>
            <w:r>
              <w:t>y in which scabies exists in cattle with an authorization for the TAHC instead to establish a quarantine against an applicable area for scabies control;</w:t>
            </w:r>
          </w:p>
          <w:p w14:paraId="7CCE5C6E" w14:textId="7DF6C379" w:rsidR="003D5976" w:rsidRDefault="007F782B" w:rsidP="004B34E2">
            <w:pPr>
              <w:pStyle w:val="Header"/>
              <w:numPr>
                <w:ilvl w:val="0"/>
                <w:numId w:val="1"/>
              </w:numPr>
              <w:tabs>
                <w:tab w:val="clear" w:pos="4320"/>
                <w:tab w:val="clear" w:pos="8640"/>
              </w:tabs>
              <w:jc w:val="both"/>
            </w:pPr>
            <w:r>
              <w:t>r</w:t>
            </w:r>
            <w:r>
              <w:t>emoves the statutorily prescribed deadline for submission of a certification of test or vaccination of cattle or certain other animals for tuberculosis and requires the TAHC instead to prescribe the submission deadline by rule;</w:t>
            </w:r>
          </w:p>
          <w:p w14:paraId="6AC6A67C" w14:textId="33D221C1" w:rsidR="003D5976" w:rsidRDefault="007F782B" w:rsidP="004B34E2">
            <w:pPr>
              <w:pStyle w:val="Header"/>
              <w:numPr>
                <w:ilvl w:val="0"/>
                <w:numId w:val="1"/>
              </w:numPr>
              <w:tabs>
                <w:tab w:val="clear" w:pos="4320"/>
                <w:tab w:val="clear" w:pos="8640"/>
              </w:tabs>
              <w:jc w:val="both"/>
            </w:pPr>
            <w:r>
              <w:t>authorizes the TAHC to requi</w:t>
            </w:r>
            <w:r>
              <w:t>re the owner or operator of a livestock market to furnish adequate equipment or facilities or have access to essential equipment or facilities within the market's immediate vicinity</w:t>
            </w:r>
            <w:r w:rsidR="003F2E6C">
              <w:t xml:space="preserve"> for testing, treatment, or vaccination of livestock</w:t>
            </w:r>
            <w:r>
              <w:t>;</w:t>
            </w:r>
            <w:r w:rsidR="00003750">
              <w:t xml:space="preserve"> and</w:t>
            </w:r>
          </w:p>
          <w:p w14:paraId="1D36CC74" w14:textId="4B035D1A" w:rsidR="003D5976" w:rsidRDefault="007F782B" w:rsidP="004B34E2">
            <w:pPr>
              <w:pStyle w:val="Header"/>
              <w:numPr>
                <w:ilvl w:val="0"/>
                <w:numId w:val="1"/>
              </w:numPr>
              <w:tabs>
                <w:tab w:val="clear" w:pos="4320"/>
                <w:tab w:val="clear" w:pos="8640"/>
              </w:tabs>
              <w:jc w:val="both"/>
            </w:pPr>
            <w:r>
              <w:t>authorizes the TA</w:t>
            </w:r>
            <w:r>
              <w:t xml:space="preserve">HC, by a two-thirds vote, to adopt rules for the cooperative program for the eradication of swine diseases that are more stringent than the applicable federal rules </w:t>
            </w:r>
            <w:r w:rsidRPr="00347927">
              <w:t>relating to minimum standards for cooperative programs</w:t>
            </w:r>
            <w:r>
              <w:t>.</w:t>
            </w:r>
          </w:p>
          <w:p w14:paraId="5B178729" w14:textId="08A08C61" w:rsidR="00347927" w:rsidRDefault="007F782B" w:rsidP="004B34E2">
            <w:pPr>
              <w:pStyle w:val="Header"/>
              <w:tabs>
                <w:tab w:val="clear" w:pos="4320"/>
                <w:tab w:val="clear" w:pos="8640"/>
              </w:tabs>
              <w:jc w:val="both"/>
            </w:pPr>
            <w:r>
              <w:t>The rules adopted by the TAHC listi</w:t>
            </w:r>
            <w:r>
              <w:t xml:space="preserve">ng </w:t>
            </w:r>
            <w:r w:rsidRPr="00A74D7F">
              <w:t xml:space="preserve">the diseases that require control and eradication from which those animals must be protected </w:t>
            </w:r>
            <w:r>
              <w:t xml:space="preserve">and listing the diseases that </w:t>
            </w:r>
            <w:r w:rsidRPr="00A74D7F">
              <w:t xml:space="preserve">require reporting </w:t>
            </w:r>
            <w:r>
              <w:t>are exempt from Government Code provisions establishing certain requirements applicable to state agency rules th</w:t>
            </w:r>
            <w:r>
              <w:t>at increase costs to regulated persons.</w:t>
            </w:r>
          </w:p>
          <w:p w14:paraId="50B8D58E" w14:textId="77777777" w:rsidR="00A74D7F" w:rsidRDefault="00A74D7F" w:rsidP="004B34E2">
            <w:pPr>
              <w:pStyle w:val="Header"/>
              <w:tabs>
                <w:tab w:val="clear" w:pos="4320"/>
                <w:tab w:val="clear" w:pos="8640"/>
              </w:tabs>
              <w:jc w:val="both"/>
            </w:pPr>
          </w:p>
          <w:p w14:paraId="1A33A6AC" w14:textId="40D7269C" w:rsidR="00714A65" w:rsidRDefault="007F782B" w:rsidP="004B34E2">
            <w:pPr>
              <w:pStyle w:val="Header"/>
              <w:tabs>
                <w:tab w:val="clear" w:pos="4320"/>
                <w:tab w:val="clear" w:pos="8640"/>
              </w:tabs>
              <w:jc w:val="both"/>
            </w:pPr>
            <w:r>
              <w:t xml:space="preserve">C.S.S.B. 705 designates the </w:t>
            </w:r>
            <w:r w:rsidRPr="00714A65">
              <w:t xml:space="preserve">Texas A&amp;M Veterinary Medical Diagnostic Laboratory </w:t>
            </w:r>
            <w:r>
              <w:t>as</w:t>
            </w:r>
            <w:r w:rsidRPr="00714A65">
              <w:t xml:space="preserve"> the state's regulatory animal health laboratory</w:t>
            </w:r>
            <w:r>
              <w:t xml:space="preserve"> and provides for a related memorandum of understanding between the TAHC and that labo</w:t>
            </w:r>
            <w:r>
              <w:t>ratory. The bill requires the memorandum to be adopted not later than January 1, 2022, and requires it to be reviewed annually. These provisions expressly do not prevent the TAHC from using a different laboratory for a test as needed or</w:t>
            </w:r>
            <w:r w:rsidR="000B0E4F">
              <w:t xml:space="preserve"> from</w:t>
            </w:r>
            <w:r>
              <w:t xml:space="preserve"> collecting spe</w:t>
            </w:r>
            <w:r>
              <w:t>cimens and performing field tests to diagnose animal diseases.</w:t>
            </w:r>
          </w:p>
          <w:p w14:paraId="17F32C55" w14:textId="670E1490" w:rsidR="00347927" w:rsidRDefault="00347927" w:rsidP="004B34E2">
            <w:pPr>
              <w:pStyle w:val="Header"/>
              <w:tabs>
                <w:tab w:val="clear" w:pos="4320"/>
                <w:tab w:val="clear" w:pos="8640"/>
              </w:tabs>
              <w:jc w:val="both"/>
            </w:pPr>
          </w:p>
          <w:p w14:paraId="2237BF1E" w14:textId="27462C64" w:rsidR="00347927" w:rsidRDefault="007F782B" w:rsidP="004B34E2">
            <w:pPr>
              <w:pStyle w:val="Header"/>
              <w:tabs>
                <w:tab w:val="clear" w:pos="4320"/>
                <w:tab w:val="clear" w:pos="8640"/>
              </w:tabs>
              <w:jc w:val="both"/>
            </w:pPr>
            <w:r>
              <w:t>C.S.S.B. 705 amends the Penal Code to make a conforming change.</w:t>
            </w:r>
          </w:p>
          <w:p w14:paraId="159F26E6" w14:textId="6153C7DE" w:rsidR="008A163F" w:rsidRDefault="008A163F" w:rsidP="004B34E2">
            <w:pPr>
              <w:pStyle w:val="Header"/>
              <w:tabs>
                <w:tab w:val="clear" w:pos="4320"/>
                <w:tab w:val="clear" w:pos="8640"/>
              </w:tabs>
              <w:jc w:val="both"/>
            </w:pPr>
          </w:p>
          <w:p w14:paraId="66278403" w14:textId="20736ABD" w:rsidR="008A163F" w:rsidRDefault="007F782B" w:rsidP="004B34E2">
            <w:pPr>
              <w:pStyle w:val="Header"/>
              <w:tabs>
                <w:tab w:val="clear" w:pos="4320"/>
                <w:tab w:val="clear" w:pos="8640"/>
              </w:tabs>
              <w:jc w:val="both"/>
            </w:pPr>
            <w:r>
              <w:t>C.S.S.B. 705 repeals the following provisions of the Agriculture Code:</w:t>
            </w:r>
          </w:p>
          <w:p w14:paraId="76C327C4" w14:textId="77777777" w:rsidR="008A163F" w:rsidRDefault="007F782B" w:rsidP="004B34E2">
            <w:pPr>
              <w:pStyle w:val="Header"/>
              <w:numPr>
                <w:ilvl w:val="0"/>
                <w:numId w:val="3"/>
              </w:numPr>
              <w:tabs>
                <w:tab w:val="clear" w:pos="4320"/>
                <w:tab w:val="clear" w:pos="8640"/>
              </w:tabs>
              <w:jc w:val="both"/>
            </w:pPr>
            <w:r w:rsidRPr="008A163F">
              <w:t>Section</w:t>
            </w:r>
            <w:r>
              <w:t xml:space="preserve"> 161.035(c);</w:t>
            </w:r>
          </w:p>
          <w:p w14:paraId="3CBEF31A" w14:textId="77777777" w:rsidR="008A163F" w:rsidRDefault="007F782B" w:rsidP="004B34E2">
            <w:pPr>
              <w:pStyle w:val="Header"/>
              <w:numPr>
                <w:ilvl w:val="0"/>
                <w:numId w:val="3"/>
              </w:numPr>
              <w:tabs>
                <w:tab w:val="clear" w:pos="4320"/>
                <w:tab w:val="clear" w:pos="8640"/>
              </w:tabs>
              <w:jc w:val="both"/>
            </w:pPr>
            <w:r w:rsidRPr="008A163F">
              <w:t>Section 164.024</w:t>
            </w:r>
            <w:r>
              <w:t>;</w:t>
            </w:r>
          </w:p>
          <w:p w14:paraId="56309C73" w14:textId="77777777" w:rsidR="008A163F" w:rsidRDefault="007F782B" w:rsidP="004B34E2">
            <w:pPr>
              <w:pStyle w:val="Header"/>
              <w:numPr>
                <w:ilvl w:val="0"/>
                <w:numId w:val="3"/>
              </w:numPr>
              <w:tabs>
                <w:tab w:val="clear" w:pos="4320"/>
                <w:tab w:val="clear" w:pos="8640"/>
              </w:tabs>
              <w:jc w:val="both"/>
            </w:pPr>
            <w:r w:rsidRPr="008A163F">
              <w:t>Section 164.025</w:t>
            </w:r>
            <w:r>
              <w:t>;</w:t>
            </w:r>
          </w:p>
          <w:p w14:paraId="5CD77790" w14:textId="77777777" w:rsidR="008A163F" w:rsidRDefault="007F782B" w:rsidP="004B34E2">
            <w:pPr>
              <w:pStyle w:val="Header"/>
              <w:numPr>
                <w:ilvl w:val="0"/>
                <w:numId w:val="3"/>
              </w:numPr>
              <w:tabs>
                <w:tab w:val="clear" w:pos="4320"/>
                <w:tab w:val="clear" w:pos="8640"/>
              </w:tabs>
              <w:jc w:val="both"/>
            </w:pPr>
            <w:r w:rsidRPr="008A163F">
              <w:t>Section 164.026</w:t>
            </w:r>
            <w:r>
              <w:t>;</w:t>
            </w:r>
          </w:p>
          <w:p w14:paraId="1E292FA9" w14:textId="77777777" w:rsidR="008A163F" w:rsidRDefault="007F782B" w:rsidP="004B34E2">
            <w:pPr>
              <w:pStyle w:val="Header"/>
              <w:numPr>
                <w:ilvl w:val="0"/>
                <w:numId w:val="3"/>
              </w:numPr>
              <w:tabs>
                <w:tab w:val="clear" w:pos="4320"/>
                <w:tab w:val="clear" w:pos="8640"/>
              </w:tabs>
              <w:jc w:val="both"/>
            </w:pPr>
            <w:r w:rsidRPr="008A163F">
              <w:t>Section 164.027</w:t>
            </w:r>
            <w:r>
              <w:t>;</w:t>
            </w:r>
          </w:p>
          <w:p w14:paraId="471AC5A2" w14:textId="77777777" w:rsidR="008A163F" w:rsidRDefault="007F782B" w:rsidP="004B34E2">
            <w:pPr>
              <w:pStyle w:val="Header"/>
              <w:numPr>
                <w:ilvl w:val="0"/>
                <w:numId w:val="3"/>
              </w:numPr>
              <w:tabs>
                <w:tab w:val="clear" w:pos="4320"/>
                <w:tab w:val="clear" w:pos="8640"/>
              </w:tabs>
              <w:jc w:val="both"/>
            </w:pPr>
            <w:r w:rsidRPr="008A163F">
              <w:t>Section 165.002</w:t>
            </w:r>
            <w:r>
              <w:t>; and</w:t>
            </w:r>
          </w:p>
          <w:p w14:paraId="5C7C72A2" w14:textId="6F6EBA2A" w:rsidR="008A163F" w:rsidRPr="009C36CD" w:rsidRDefault="007F782B" w:rsidP="004B34E2">
            <w:pPr>
              <w:pStyle w:val="Header"/>
              <w:numPr>
                <w:ilvl w:val="0"/>
                <w:numId w:val="3"/>
              </w:numPr>
              <w:tabs>
                <w:tab w:val="clear" w:pos="4320"/>
                <w:tab w:val="clear" w:pos="8640"/>
              </w:tabs>
              <w:jc w:val="both"/>
            </w:pPr>
            <w:r w:rsidRPr="008A163F">
              <w:t>Section 167.058</w:t>
            </w:r>
            <w:r>
              <w:t>.</w:t>
            </w:r>
          </w:p>
          <w:p w14:paraId="45D17E9A" w14:textId="77777777" w:rsidR="008423E4" w:rsidRPr="00835628" w:rsidRDefault="008423E4" w:rsidP="004B34E2">
            <w:pPr>
              <w:rPr>
                <w:b/>
              </w:rPr>
            </w:pPr>
          </w:p>
        </w:tc>
      </w:tr>
      <w:tr w:rsidR="000F48EE" w14:paraId="13629F9F" w14:textId="77777777" w:rsidTr="00CF2D2E">
        <w:tc>
          <w:tcPr>
            <w:tcW w:w="9360" w:type="dxa"/>
          </w:tcPr>
          <w:p w14:paraId="480ACD29" w14:textId="77777777" w:rsidR="008423E4" w:rsidRPr="00A8133F" w:rsidRDefault="007F782B" w:rsidP="004B34E2">
            <w:pPr>
              <w:rPr>
                <w:b/>
              </w:rPr>
            </w:pPr>
            <w:r w:rsidRPr="009C1E9A">
              <w:rPr>
                <w:b/>
                <w:u w:val="single"/>
              </w:rPr>
              <w:t>EFFECTIVE DATE</w:t>
            </w:r>
            <w:r>
              <w:rPr>
                <w:b/>
              </w:rPr>
              <w:t xml:space="preserve"> </w:t>
            </w:r>
          </w:p>
          <w:p w14:paraId="616D70D7" w14:textId="77777777" w:rsidR="008423E4" w:rsidRDefault="008423E4" w:rsidP="004B34E2"/>
          <w:p w14:paraId="3E8EC4DE" w14:textId="00F9F1DC" w:rsidR="008423E4" w:rsidRPr="003624F2" w:rsidRDefault="007F782B" w:rsidP="004B34E2">
            <w:pPr>
              <w:pStyle w:val="Header"/>
              <w:tabs>
                <w:tab w:val="clear" w:pos="4320"/>
                <w:tab w:val="clear" w:pos="8640"/>
              </w:tabs>
              <w:jc w:val="both"/>
            </w:pPr>
            <w:r>
              <w:t>September 1, 2021.</w:t>
            </w:r>
          </w:p>
          <w:p w14:paraId="06234D8C" w14:textId="77777777" w:rsidR="008423E4" w:rsidRPr="00233FDB" w:rsidRDefault="008423E4" w:rsidP="004B34E2">
            <w:pPr>
              <w:rPr>
                <w:b/>
              </w:rPr>
            </w:pPr>
          </w:p>
        </w:tc>
      </w:tr>
      <w:tr w:rsidR="000F48EE" w14:paraId="04A82FE2" w14:textId="77777777" w:rsidTr="00CF2D2E">
        <w:tc>
          <w:tcPr>
            <w:tcW w:w="9360" w:type="dxa"/>
          </w:tcPr>
          <w:p w14:paraId="19A07E52" w14:textId="77777777" w:rsidR="002162E7" w:rsidRDefault="007F782B" w:rsidP="004B34E2">
            <w:pPr>
              <w:jc w:val="both"/>
              <w:rPr>
                <w:b/>
                <w:u w:val="single"/>
              </w:rPr>
            </w:pPr>
            <w:r>
              <w:rPr>
                <w:b/>
                <w:u w:val="single"/>
              </w:rPr>
              <w:t>COMPARISON OF SENATE ENGROSSED AND SUBSTITUTE</w:t>
            </w:r>
          </w:p>
          <w:p w14:paraId="6E79DA2B" w14:textId="77777777" w:rsidR="00B11C41" w:rsidRDefault="00B11C41" w:rsidP="004B34E2">
            <w:pPr>
              <w:jc w:val="both"/>
            </w:pPr>
          </w:p>
          <w:p w14:paraId="2D13CDD0" w14:textId="1D5F70EE" w:rsidR="00B11C41" w:rsidRDefault="007F782B" w:rsidP="004B34E2">
            <w:pPr>
              <w:jc w:val="both"/>
            </w:pPr>
            <w:r>
              <w:t xml:space="preserve">While C.S.S.B. 705 may differ from the engrossed in minor or nonsubstantive ways, the following </w:t>
            </w:r>
            <w:r>
              <w:t>summarizes the substantial differences between the engrossed and committee substitute versions of the bill.</w:t>
            </w:r>
          </w:p>
          <w:p w14:paraId="717C0FA8" w14:textId="2B4557D7" w:rsidR="00B11C41" w:rsidRDefault="00B11C41" w:rsidP="004B34E2">
            <w:pPr>
              <w:jc w:val="both"/>
            </w:pPr>
          </w:p>
          <w:p w14:paraId="1E47963E" w14:textId="37958F8D" w:rsidR="00B11C41" w:rsidRDefault="007F782B" w:rsidP="004B34E2">
            <w:pPr>
              <w:jc w:val="both"/>
            </w:pPr>
            <w:r>
              <w:t>The substitute includes the following provisions not in the engrossed:</w:t>
            </w:r>
          </w:p>
          <w:p w14:paraId="66B641AB" w14:textId="482CE6BE" w:rsidR="00B11C41" w:rsidRDefault="007F782B" w:rsidP="004B34E2">
            <w:pPr>
              <w:pStyle w:val="ListParagraph"/>
              <w:numPr>
                <w:ilvl w:val="0"/>
                <w:numId w:val="4"/>
              </w:numPr>
              <w:contextualSpacing w:val="0"/>
              <w:jc w:val="both"/>
            </w:pPr>
            <w:r>
              <w:t xml:space="preserve">provisions exempting </w:t>
            </w:r>
            <w:r w:rsidRPr="00B11C41">
              <w:t>rules adopted by the TAHC listing the diseases that req</w:t>
            </w:r>
            <w:r w:rsidRPr="00B11C41">
              <w:t>uire control and eradication and listing the diseases that require reporting from Government Code provisions establishing certain requirements applicable to state agency rules that increase costs to regulated persons</w:t>
            </w:r>
            <w:r>
              <w:t>;</w:t>
            </w:r>
          </w:p>
          <w:p w14:paraId="3C5CE3F6" w14:textId="06D2AB5B" w:rsidR="00B11C41" w:rsidRDefault="007F782B" w:rsidP="004B34E2">
            <w:pPr>
              <w:pStyle w:val="ListParagraph"/>
              <w:numPr>
                <w:ilvl w:val="0"/>
                <w:numId w:val="4"/>
              </w:numPr>
              <w:contextualSpacing w:val="0"/>
              <w:jc w:val="both"/>
            </w:pPr>
            <w:r>
              <w:t>provisions regarding diseases recogniz</w:t>
            </w:r>
            <w:r>
              <w:t>ed by the USDA as reportable animal disease</w:t>
            </w:r>
            <w:r w:rsidR="0018719D">
              <w:t>s</w:t>
            </w:r>
            <w:r>
              <w:t>;</w:t>
            </w:r>
          </w:p>
          <w:p w14:paraId="1B1A27E4" w14:textId="59119F4C" w:rsidR="00B11C41" w:rsidRDefault="007F782B" w:rsidP="004B34E2">
            <w:pPr>
              <w:pStyle w:val="ListParagraph"/>
              <w:numPr>
                <w:ilvl w:val="0"/>
                <w:numId w:val="4"/>
              </w:numPr>
              <w:contextualSpacing w:val="0"/>
              <w:jc w:val="both"/>
            </w:pPr>
            <w:r>
              <w:t>provisions authorizing the TAHC to delegate its authority to establish a quarantine; and</w:t>
            </w:r>
          </w:p>
          <w:p w14:paraId="6619BE58" w14:textId="3B2F047A" w:rsidR="00B11C41" w:rsidRPr="00B11C41" w:rsidRDefault="007F782B" w:rsidP="004B34E2">
            <w:pPr>
              <w:pStyle w:val="ListParagraph"/>
              <w:numPr>
                <w:ilvl w:val="0"/>
                <w:numId w:val="4"/>
              </w:numPr>
              <w:contextualSpacing w:val="0"/>
              <w:jc w:val="both"/>
            </w:pPr>
            <w:r>
              <w:t xml:space="preserve">provisions removing </w:t>
            </w:r>
            <w:r w:rsidR="00DC289A">
              <w:t>the automatic expiration of rules adopted by the TAHC regarding the reporting of a disease that is not otherwise a reportable disease.</w:t>
            </w:r>
          </w:p>
        </w:tc>
      </w:tr>
      <w:tr w:rsidR="000F48EE" w14:paraId="5B70B01B" w14:textId="77777777" w:rsidTr="00CF2D2E">
        <w:tc>
          <w:tcPr>
            <w:tcW w:w="9360" w:type="dxa"/>
          </w:tcPr>
          <w:p w14:paraId="77503791" w14:textId="77777777" w:rsidR="002162E7" w:rsidRPr="002162E7" w:rsidRDefault="002162E7" w:rsidP="004B34E2">
            <w:pPr>
              <w:jc w:val="both"/>
            </w:pPr>
          </w:p>
        </w:tc>
      </w:tr>
    </w:tbl>
    <w:p w14:paraId="0CA9D2AA" w14:textId="695E81F6" w:rsidR="004108C3" w:rsidRPr="008423E4" w:rsidRDefault="004108C3" w:rsidP="004B34E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835E4" w14:textId="77777777" w:rsidR="00000000" w:rsidRDefault="007F782B">
      <w:r>
        <w:separator/>
      </w:r>
    </w:p>
  </w:endnote>
  <w:endnote w:type="continuationSeparator" w:id="0">
    <w:p w14:paraId="41F0733D" w14:textId="77777777" w:rsidR="00000000" w:rsidRDefault="007F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4F6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F48EE" w14:paraId="2CD43C2B" w14:textId="77777777" w:rsidTr="009C1E9A">
      <w:trPr>
        <w:cantSplit/>
      </w:trPr>
      <w:tc>
        <w:tcPr>
          <w:tcW w:w="0" w:type="pct"/>
        </w:tcPr>
        <w:p w14:paraId="72043C22" w14:textId="77777777" w:rsidR="00137D90" w:rsidRDefault="00137D90" w:rsidP="009C1E9A">
          <w:pPr>
            <w:pStyle w:val="Footer"/>
            <w:tabs>
              <w:tab w:val="clear" w:pos="8640"/>
              <w:tab w:val="right" w:pos="9360"/>
            </w:tabs>
          </w:pPr>
        </w:p>
      </w:tc>
      <w:tc>
        <w:tcPr>
          <w:tcW w:w="2395" w:type="pct"/>
        </w:tcPr>
        <w:p w14:paraId="2783E05C" w14:textId="77777777" w:rsidR="00137D90" w:rsidRDefault="00137D90" w:rsidP="009C1E9A">
          <w:pPr>
            <w:pStyle w:val="Footer"/>
            <w:tabs>
              <w:tab w:val="clear" w:pos="8640"/>
              <w:tab w:val="right" w:pos="9360"/>
            </w:tabs>
          </w:pPr>
        </w:p>
        <w:p w14:paraId="0942F494" w14:textId="77777777" w:rsidR="001A4310" w:rsidRDefault="001A4310" w:rsidP="009C1E9A">
          <w:pPr>
            <w:pStyle w:val="Footer"/>
            <w:tabs>
              <w:tab w:val="clear" w:pos="8640"/>
              <w:tab w:val="right" w:pos="9360"/>
            </w:tabs>
          </w:pPr>
        </w:p>
        <w:p w14:paraId="68AD8C5B" w14:textId="77777777" w:rsidR="00137D90" w:rsidRDefault="00137D90" w:rsidP="009C1E9A">
          <w:pPr>
            <w:pStyle w:val="Footer"/>
            <w:tabs>
              <w:tab w:val="clear" w:pos="8640"/>
              <w:tab w:val="right" w:pos="9360"/>
            </w:tabs>
          </w:pPr>
        </w:p>
      </w:tc>
      <w:tc>
        <w:tcPr>
          <w:tcW w:w="2453" w:type="pct"/>
        </w:tcPr>
        <w:p w14:paraId="64EE80E8" w14:textId="77777777" w:rsidR="00137D90" w:rsidRDefault="00137D90" w:rsidP="009C1E9A">
          <w:pPr>
            <w:pStyle w:val="Footer"/>
            <w:tabs>
              <w:tab w:val="clear" w:pos="8640"/>
              <w:tab w:val="right" w:pos="9360"/>
            </w:tabs>
            <w:jc w:val="right"/>
          </w:pPr>
        </w:p>
      </w:tc>
    </w:tr>
    <w:tr w:rsidR="000F48EE" w14:paraId="2EF0BA0D" w14:textId="77777777" w:rsidTr="009C1E9A">
      <w:trPr>
        <w:cantSplit/>
      </w:trPr>
      <w:tc>
        <w:tcPr>
          <w:tcW w:w="0" w:type="pct"/>
        </w:tcPr>
        <w:p w14:paraId="65150912" w14:textId="77777777" w:rsidR="00EC379B" w:rsidRDefault="00EC379B" w:rsidP="009C1E9A">
          <w:pPr>
            <w:pStyle w:val="Footer"/>
            <w:tabs>
              <w:tab w:val="clear" w:pos="8640"/>
              <w:tab w:val="right" w:pos="9360"/>
            </w:tabs>
          </w:pPr>
        </w:p>
      </w:tc>
      <w:tc>
        <w:tcPr>
          <w:tcW w:w="2395" w:type="pct"/>
        </w:tcPr>
        <w:p w14:paraId="7309F45E" w14:textId="321578E4" w:rsidR="00EC379B" w:rsidRPr="009C1E9A" w:rsidRDefault="007F782B" w:rsidP="009C1E9A">
          <w:pPr>
            <w:pStyle w:val="Footer"/>
            <w:tabs>
              <w:tab w:val="clear" w:pos="8640"/>
              <w:tab w:val="right" w:pos="9360"/>
            </w:tabs>
            <w:rPr>
              <w:rFonts w:ascii="Shruti" w:hAnsi="Shruti"/>
              <w:sz w:val="22"/>
            </w:rPr>
          </w:pPr>
          <w:r>
            <w:rPr>
              <w:rFonts w:ascii="Shruti" w:hAnsi="Shruti"/>
              <w:sz w:val="22"/>
            </w:rPr>
            <w:t>87R 23253</w:t>
          </w:r>
        </w:p>
      </w:tc>
      <w:tc>
        <w:tcPr>
          <w:tcW w:w="2453" w:type="pct"/>
        </w:tcPr>
        <w:p w14:paraId="5FF0AB83" w14:textId="7D9CF1F1" w:rsidR="00EC379B" w:rsidRDefault="007F782B" w:rsidP="009C1E9A">
          <w:pPr>
            <w:pStyle w:val="Footer"/>
            <w:tabs>
              <w:tab w:val="clear" w:pos="8640"/>
              <w:tab w:val="right" w:pos="9360"/>
            </w:tabs>
            <w:jc w:val="right"/>
          </w:pPr>
          <w:r>
            <w:fldChar w:fldCharType="begin"/>
          </w:r>
          <w:r>
            <w:instrText xml:space="preserve"> DOCPROPERTY  OTID  \* MERGEFORMAT </w:instrText>
          </w:r>
          <w:r>
            <w:fldChar w:fldCharType="separate"/>
          </w:r>
          <w:r w:rsidR="008C7213">
            <w:t>21.118.661</w:t>
          </w:r>
          <w:r>
            <w:fldChar w:fldCharType="end"/>
          </w:r>
        </w:p>
      </w:tc>
    </w:tr>
    <w:tr w:rsidR="000F48EE" w14:paraId="40DFBF1A" w14:textId="77777777" w:rsidTr="009C1E9A">
      <w:trPr>
        <w:cantSplit/>
      </w:trPr>
      <w:tc>
        <w:tcPr>
          <w:tcW w:w="0" w:type="pct"/>
        </w:tcPr>
        <w:p w14:paraId="641E490E" w14:textId="77777777" w:rsidR="00EC379B" w:rsidRDefault="00EC379B" w:rsidP="009C1E9A">
          <w:pPr>
            <w:pStyle w:val="Footer"/>
            <w:tabs>
              <w:tab w:val="clear" w:pos="4320"/>
              <w:tab w:val="clear" w:pos="8640"/>
              <w:tab w:val="left" w:pos="2865"/>
            </w:tabs>
          </w:pPr>
        </w:p>
      </w:tc>
      <w:tc>
        <w:tcPr>
          <w:tcW w:w="2395" w:type="pct"/>
        </w:tcPr>
        <w:p w14:paraId="78E59119" w14:textId="6A976EAA" w:rsidR="00EC379B" w:rsidRPr="009C1E9A" w:rsidRDefault="007F782B" w:rsidP="009C1E9A">
          <w:pPr>
            <w:pStyle w:val="Footer"/>
            <w:tabs>
              <w:tab w:val="clear" w:pos="4320"/>
              <w:tab w:val="clear" w:pos="8640"/>
              <w:tab w:val="left" w:pos="2865"/>
            </w:tabs>
            <w:rPr>
              <w:rFonts w:ascii="Shruti" w:hAnsi="Shruti"/>
              <w:sz w:val="22"/>
            </w:rPr>
          </w:pPr>
          <w:r>
            <w:rPr>
              <w:rFonts w:ascii="Shruti" w:hAnsi="Shruti"/>
              <w:sz w:val="22"/>
            </w:rPr>
            <w:t>Substitute Document Number: 87R 17183</w:t>
          </w:r>
        </w:p>
      </w:tc>
      <w:tc>
        <w:tcPr>
          <w:tcW w:w="2453" w:type="pct"/>
        </w:tcPr>
        <w:p w14:paraId="19FC6552" w14:textId="77777777" w:rsidR="00EC379B" w:rsidRDefault="00EC379B" w:rsidP="006D504F">
          <w:pPr>
            <w:pStyle w:val="Footer"/>
            <w:rPr>
              <w:rStyle w:val="PageNumber"/>
            </w:rPr>
          </w:pPr>
        </w:p>
        <w:p w14:paraId="02C7AA5F" w14:textId="77777777" w:rsidR="00EC379B" w:rsidRDefault="00EC379B" w:rsidP="009C1E9A">
          <w:pPr>
            <w:pStyle w:val="Footer"/>
            <w:tabs>
              <w:tab w:val="clear" w:pos="8640"/>
              <w:tab w:val="right" w:pos="9360"/>
            </w:tabs>
            <w:jc w:val="right"/>
          </w:pPr>
        </w:p>
      </w:tc>
    </w:tr>
    <w:tr w:rsidR="000F48EE" w14:paraId="31BDA953" w14:textId="77777777" w:rsidTr="009C1E9A">
      <w:trPr>
        <w:cantSplit/>
        <w:trHeight w:val="323"/>
      </w:trPr>
      <w:tc>
        <w:tcPr>
          <w:tcW w:w="0" w:type="pct"/>
          <w:gridSpan w:val="3"/>
        </w:tcPr>
        <w:p w14:paraId="62B311F3" w14:textId="0AFB75CD" w:rsidR="00EC379B" w:rsidRDefault="007F782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B34E2">
            <w:rPr>
              <w:rStyle w:val="PageNumber"/>
              <w:noProof/>
            </w:rPr>
            <w:t>3</w:t>
          </w:r>
          <w:r>
            <w:rPr>
              <w:rStyle w:val="PageNumber"/>
            </w:rPr>
            <w:fldChar w:fldCharType="end"/>
          </w:r>
        </w:p>
        <w:p w14:paraId="0AC48F64" w14:textId="77777777" w:rsidR="00EC379B" w:rsidRDefault="00EC379B" w:rsidP="009C1E9A">
          <w:pPr>
            <w:pStyle w:val="Footer"/>
            <w:tabs>
              <w:tab w:val="clear" w:pos="8640"/>
              <w:tab w:val="right" w:pos="9360"/>
            </w:tabs>
            <w:jc w:val="center"/>
          </w:pPr>
        </w:p>
      </w:tc>
    </w:tr>
  </w:tbl>
  <w:p w14:paraId="54159F4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B2B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E4B18" w14:textId="77777777" w:rsidR="00000000" w:rsidRDefault="007F782B">
      <w:r>
        <w:separator/>
      </w:r>
    </w:p>
  </w:footnote>
  <w:footnote w:type="continuationSeparator" w:id="0">
    <w:p w14:paraId="1AD697D6" w14:textId="77777777" w:rsidR="00000000" w:rsidRDefault="007F7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71A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386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9B4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1575"/>
    <w:multiLevelType w:val="hybridMultilevel"/>
    <w:tmpl w:val="C9240E3E"/>
    <w:lvl w:ilvl="0" w:tplc="CD3ACC8A">
      <w:start w:val="1"/>
      <w:numFmt w:val="bullet"/>
      <w:lvlText w:val=""/>
      <w:lvlJc w:val="left"/>
      <w:pPr>
        <w:tabs>
          <w:tab w:val="num" w:pos="720"/>
        </w:tabs>
        <w:ind w:left="720" w:hanging="360"/>
      </w:pPr>
      <w:rPr>
        <w:rFonts w:ascii="Symbol" w:hAnsi="Symbol" w:hint="default"/>
      </w:rPr>
    </w:lvl>
    <w:lvl w:ilvl="1" w:tplc="4954ACB6">
      <w:start w:val="1"/>
      <w:numFmt w:val="bullet"/>
      <w:lvlText w:val="o"/>
      <w:lvlJc w:val="left"/>
      <w:pPr>
        <w:ind w:left="1440" w:hanging="360"/>
      </w:pPr>
      <w:rPr>
        <w:rFonts w:ascii="Courier New" w:hAnsi="Courier New" w:cs="Courier New" w:hint="default"/>
      </w:rPr>
    </w:lvl>
    <w:lvl w:ilvl="2" w:tplc="5A2477BA" w:tentative="1">
      <w:start w:val="1"/>
      <w:numFmt w:val="bullet"/>
      <w:lvlText w:val=""/>
      <w:lvlJc w:val="left"/>
      <w:pPr>
        <w:ind w:left="2160" w:hanging="360"/>
      </w:pPr>
      <w:rPr>
        <w:rFonts w:ascii="Wingdings" w:hAnsi="Wingdings" w:hint="default"/>
      </w:rPr>
    </w:lvl>
    <w:lvl w:ilvl="3" w:tplc="9620E1EA" w:tentative="1">
      <w:start w:val="1"/>
      <w:numFmt w:val="bullet"/>
      <w:lvlText w:val=""/>
      <w:lvlJc w:val="left"/>
      <w:pPr>
        <w:ind w:left="2880" w:hanging="360"/>
      </w:pPr>
      <w:rPr>
        <w:rFonts w:ascii="Symbol" w:hAnsi="Symbol" w:hint="default"/>
      </w:rPr>
    </w:lvl>
    <w:lvl w:ilvl="4" w:tplc="4B8212AA" w:tentative="1">
      <w:start w:val="1"/>
      <w:numFmt w:val="bullet"/>
      <w:lvlText w:val="o"/>
      <w:lvlJc w:val="left"/>
      <w:pPr>
        <w:ind w:left="3600" w:hanging="360"/>
      </w:pPr>
      <w:rPr>
        <w:rFonts w:ascii="Courier New" w:hAnsi="Courier New" w:cs="Courier New" w:hint="default"/>
      </w:rPr>
    </w:lvl>
    <w:lvl w:ilvl="5" w:tplc="544425D4" w:tentative="1">
      <w:start w:val="1"/>
      <w:numFmt w:val="bullet"/>
      <w:lvlText w:val=""/>
      <w:lvlJc w:val="left"/>
      <w:pPr>
        <w:ind w:left="4320" w:hanging="360"/>
      </w:pPr>
      <w:rPr>
        <w:rFonts w:ascii="Wingdings" w:hAnsi="Wingdings" w:hint="default"/>
      </w:rPr>
    </w:lvl>
    <w:lvl w:ilvl="6" w:tplc="95FEB618" w:tentative="1">
      <w:start w:val="1"/>
      <w:numFmt w:val="bullet"/>
      <w:lvlText w:val=""/>
      <w:lvlJc w:val="left"/>
      <w:pPr>
        <w:ind w:left="5040" w:hanging="360"/>
      </w:pPr>
      <w:rPr>
        <w:rFonts w:ascii="Symbol" w:hAnsi="Symbol" w:hint="default"/>
      </w:rPr>
    </w:lvl>
    <w:lvl w:ilvl="7" w:tplc="56D826E0" w:tentative="1">
      <w:start w:val="1"/>
      <w:numFmt w:val="bullet"/>
      <w:lvlText w:val="o"/>
      <w:lvlJc w:val="left"/>
      <w:pPr>
        <w:ind w:left="5760" w:hanging="360"/>
      </w:pPr>
      <w:rPr>
        <w:rFonts w:ascii="Courier New" w:hAnsi="Courier New" w:cs="Courier New" w:hint="default"/>
      </w:rPr>
    </w:lvl>
    <w:lvl w:ilvl="8" w:tplc="D75C9A46" w:tentative="1">
      <w:start w:val="1"/>
      <w:numFmt w:val="bullet"/>
      <w:lvlText w:val=""/>
      <w:lvlJc w:val="left"/>
      <w:pPr>
        <w:ind w:left="6480" w:hanging="360"/>
      </w:pPr>
      <w:rPr>
        <w:rFonts w:ascii="Wingdings" w:hAnsi="Wingdings" w:hint="default"/>
      </w:rPr>
    </w:lvl>
  </w:abstractNum>
  <w:abstractNum w:abstractNumId="1" w15:restartNumberingAfterBreak="0">
    <w:nsid w:val="423C4028"/>
    <w:multiLevelType w:val="hybridMultilevel"/>
    <w:tmpl w:val="039CB618"/>
    <w:lvl w:ilvl="0" w:tplc="61E02904">
      <w:start w:val="1"/>
      <w:numFmt w:val="bullet"/>
      <w:lvlText w:val=""/>
      <w:lvlJc w:val="left"/>
      <w:pPr>
        <w:tabs>
          <w:tab w:val="num" w:pos="720"/>
        </w:tabs>
        <w:ind w:left="720" w:hanging="360"/>
      </w:pPr>
      <w:rPr>
        <w:rFonts w:ascii="Symbol" w:hAnsi="Symbol" w:hint="default"/>
      </w:rPr>
    </w:lvl>
    <w:lvl w:ilvl="1" w:tplc="C32A960A" w:tentative="1">
      <w:start w:val="1"/>
      <w:numFmt w:val="bullet"/>
      <w:lvlText w:val="o"/>
      <w:lvlJc w:val="left"/>
      <w:pPr>
        <w:ind w:left="1440" w:hanging="360"/>
      </w:pPr>
      <w:rPr>
        <w:rFonts w:ascii="Courier New" w:hAnsi="Courier New" w:cs="Courier New" w:hint="default"/>
      </w:rPr>
    </w:lvl>
    <w:lvl w:ilvl="2" w:tplc="92C8AB30" w:tentative="1">
      <w:start w:val="1"/>
      <w:numFmt w:val="bullet"/>
      <w:lvlText w:val=""/>
      <w:lvlJc w:val="left"/>
      <w:pPr>
        <w:ind w:left="2160" w:hanging="360"/>
      </w:pPr>
      <w:rPr>
        <w:rFonts w:ascii="Wingdings" w:hAnsi="Wingdings" w:hint="default"/>
      </w:rPr>
    </w:lvl>
    <w:lvl w:ilvl="3" w:tplc="CFC65352" w:tentative="1">
      <w:start w:val="1"/>
      <w:numFmt w:val="bullet"/>
      <w:lvlText w:val=""/>
      <w:lvlJc w:val="left"/>
      <w:pPr>
        <w:ind w:left="2880" w:hanging="360"/>
      </w:pPr>
      <w:rPr>
        <w:rFonts w:ascii="Symbol" w:hAnsi="Symbol" w:hint="default"/>
      </w:rPr>
    </w:lvl>
    <w:lvl w:ilvl="4" w:tplc="E89893E2" w:tentative="1">
      <w:start w:val="1"/>
      <w:numFmt w:val="bullet"/>
      <w:lvlText w:val="o"/>
      <w:lvlJc w:val="left"/>
      <w:pPr>
        <w:ind w:left="3600" w:hanging="360"/>
      </w:pPr>
      <w:rPr>
        <w:rFonts w:ascii="Courier New" w:hAnsi="Courier New" w:cs="Courier New" w:hint="default"/>
      </w:rPr>
    </w:lvl>
    <w:lvl w:ilvl="5" w:tplc="CF94EBB8" w:tentative="1">
      <w:start w:val="1"/>
      <w:numFmt w:val="bullet"/>
      <w:lvlText w:val=""/>
      <w:lvlJc w:val="left"/>
      <w:pPr>
        <w:ind w:left="4320" w:hanging="360"/>
      </w:pPr>
      <w:rPr>
        <w:rFonts w:ascii="Wingdings" w:hAnsi="Wingdings" w:hint="default"/>
      </w:rPr>
    </w:lvl>
    <w:lvl w:ilvl="6" w:tplc="9788CDFC" w:tentative="1">
      <w:start w:val="1"/>
      <w:numFmt w:val="bullet"/>
      <w:lvlText w:val=""/>
      <w:lvlJc w:val="left"/>
      <w:pPr>
        <w:ind w:left="5040" w:hanging="360"/>
      </w:pPr>
      <w:rPr>
        <w:rFonts w:ascii="Symbol" w:hAnsi="Symbol" w:hint="default"/>
      </w:rPr>
    </w:lvl>
    <w:lvl w:ilvl="7" w:tplc="DF22B0D2" w:tentative="1">
      <w:start w:val="1"/>
      <w:numFmt w:val="bullet"/>
      <w:lvlText w:val="o"/>
      <w:lvlJc w:val="left"/>
      <w:pPr>
        <w:ind w:left="5760" w:hanging="360"/>
      </w:pPr>
      <w:rPr>
        <w:rFonts w:ascii="Courier New" w:hAnsi="Courier New" w:cs="Courier New" w:hint="default"/>
      </w:rPr>
    </w:lvl>
    <w:lvl w:ilvl="8" w:tplc="1E9E1682" w:tentative="1">
      <w:start w:val="1"/>
      <w:numFmt w:val="bullet"/>
      <w:lvlText w:val=""/>
      <w:lvlJc w:val="left"/>
      <w:pPr>
        <w:ind w:left="6480" w:hanging="360"/>
      </w:pPr>
      <w:rPr>
        <w:rFonts w:ascii="Wingdings" w:hAnsi="Wingdings" w:hint="default"/>
      </w:rPr>
    </w:lvl>
  </w:abstractNum>
  <w:abstractNum w:abstractNumId="2" w15:restartNumberingAfterBreak="0">
    <w:nsid w:val="53692F99"/>
    <w:multiLevelType w:val="hybridMultilevel"/>
    <w:tmpl w:val="96E8AC0E"/>
    <w:lvl w:ilvl="0" w:tplc="4816F9FC">
      <w:start w:val="1"/>
      <w:numFmt w:val="bullet"/>
      <w:lvlText w:val=""/>
      <w:lvlJc w:val="left"/>
      <w:pPr>
        <w:tabs>
          <w:tab w:val="num" w:pos="720"/>
        </w:tabs>
        <w:ind w:left="720" w:hanging="360"/>
      </w:pPr>
      <w:rPr>
        <w:rFonts w:ascii="Symbol" w:hAnsi="Symbol" w:hint="default"/>
      </w:rPr>
    </w:lvl>
    <w:lvl w:ilvl="1" w:tplc="E2264D96">
      <w:start w:val="1"/>
      <w:numFmt w:val="bullet"/>
      <w:lvlText w:val="o"/>
      <w:lvlJc w:val="left"/>
      <w:pPr>
        <w:ind w:left="1440" w:hanging="360"/>
      </w:pPr>
      <w:rPr>
        <w:rFonts w:ascii="Courier New" w:hAnsi="Courier New" w:cs="Courier New" w:hint="default"/>
      </w:rPr>
    </w:lvl>
    <w:lvl w:ilvl="2" w:tplc="C9E632C0" w:tentative="1">
      <w:start w:val="1"/>
      <w:numFmt w:val="bullet"/>
      <w:lvlText w:val=""/>
      <w:lvlJc w:val="left"/>
      <w:pPr>
        <w:ind w:left="2160" w:hanging="360"/>
      </w:pPr>
      <w:rPr>
        <w:rFonts w:ascii="Wingdings" w:hAnsi="Wingdings" w:hint="default"/>
      </w:rPr>
    </w:lvl>
    <w:lvl w:ilvl="3" w:tplc="5EAC4C0A" w:tentative="1">
      <w:start w:val="1"/>
      <w:numFmt w:val="bullet"/>
      <w:lvlText w:val=""/>
      <w:lvlJc w:val="left"/>
      <w:pPr>
        <w:ind w:left="2880" w:hanging="360"/>
      </w:pPr>
      <w:rPr>
        <w:rFonts w:ascii="Symbol" w:hAnsi="Symbol" w:hint="default"/>
      </w:rPr>
    </w:lvl>
    <w:lvl w:ilvl="4" w:tplc="B2E0F1B2" w:tentative="1">
      <w:start w:val="1"/>
      <w:numFmt w:val="bullet"/>
      <w:lvlText w:val="o"/>
      <w:lvlJc w:val="left"/>
      <w:pPr>
        <w:ind w:left="3600" w:hanging="360"/>
      </w:pPr>
      <w:rPr>
        <w:rFonts w:ascii="Courier New" w:hAnsi="Courier New" w:cs="Courier New" w:hint="default"/>
      </w:rPr>
    </w:lvl>
    <w:lvl w:ilvl="5" w:tplc="CC06B51E" w:tentative="1">
      <w:start w:val="1"/>
      <w:numFmt w:val="bullet"/>
      <w:lvlText w:val=""/>
      <w:lvlJc w:val="left"/>
      <w:pPr>
        <w:ind w:left="4320" w:hanging="360"/>
      </w:pPr>
      <w:rPr>
        <w:rFonts w:ascii="Wingdings" w:hAnsi="Wingdings" w:hint="default"/>
      </w:rPr>
    </w:lvl>
    <w:lvl w:ilvl="6" w:tplc="B18A985C" w:tentative="1">
      <w:start w:val="1"/>
      <w:numFmt w:val="bullet"/>
      <w:lvlText w:val=""/>
      <w:lvlJc w:val="left"/>
      <w:pPr>
        <w:ind w:left="5040" w:hanging="360"/>
      </w:pPr>
      <w:rPr>
        <w:rFonts w:ascii="Symbol" w:hAnsi="Symbol" w:hint="default"/>
      </w:rPr>
    </w:lvl>
    <w:lvl w:ilvl="7" w:tplc="79529AD2" w:tentative="1">
      <w:start w:val="1"/>
      <w:numFmt w:val="bullet"/>
      <w:lvlText w:val="o"/>
      <w:lvlJc w:val="left"/>
      <w:pPr>
        <w:ind w:left="5760" w:hanging="360"/>
      </w:pPr>
      <w:rPr>
        <w:rFonts w:ascii="Courier New" w:hAnsi="Courier New" w:cs="Courier New" w:hint="default"/>
      </w:rPr>
    </w:lvl>
    <w:lvl w:ilvl="8" w:tplc="177417DA" w:tentative="1">
      <w:start w:val="1"/>
      <w:numFmt w:val="bullet"/>
      <w:lvlText w:val=""/>
      <w:lvlJc w:val="left"/>
      <w:pPr>
        <w:ind w:left="6480" w:hanging="360"/>
      </w:pPr>
      <w:rPr>
        <w:rFonts w:ascii="Wingdings" w:hAnsi="Wingdings" w:hint="default"/>
      </w:rPr>
    </w:lvl>
  </w:abstractNum>
  <w:abstractNum w:abstractNumId="3" w15:restartNumberingAfterBreak="0">
    <w:nsid w:val="5C2248E2"/>
    <w:multiLevelType w:val="hybridMultilevel"/>
    <w:tmpl w:val="773EFB1E"/>
    <w:lvl w:ilvl="0" w:tplc="86EEC228">
      <w:start w:val="1"/>
      <w:numFmt w:val="bullet"/>
      <w:lvlText w:val=""/>
      <w:lvlJc w:val="left"/>
      <w:pPr>
        <w:tabs>
          <w:tab w:val="num" w:pos="720"/>
        </w:tabs>
        <w:ind w:left="720" w:hanging="360"/>
      </w:pPr>
      <w:rPr>
        <w:rFonts w:ascii="Symbol" w:hAnsi="Symbol" w:hint="default"/>
      </w:rPr>
    </w:lvl>
    <w:lvl w:ilvl="1" w:tplc="02642664" w:tentative="1">
      <w:start w:val="1"/>
      <w:numFmt w:val="bullet"/>
      <w:lvlText w:val="o"/>
      <w:lvlJc w:val="left"/>
      <w:pPr>
        <w:ind w:left="1440" w:hanging="360"/>
      </w:pPr>
      <w:rPr>
        <w:rFonts w:ascii="Courier New" w:hAnsi="Courier New" w:cs="Courier New" w:hint="default"/>
      </w:rPr>
    </w:lvl>
    <w:lvl w:ilvl="2" w:tplc="50123E9A" w:tentative="1">
      <w:start w:val="1"/>
      <w:numFmt w:val="bullet"/>
      <w:lvlText w:val=""/>
      <w:lvlJc w:val="left"/>
      <w:pPr>
        <w:ind w:left="2160" w:hanging="360"/>
      </w:pPr>
      <w:rPr>
        <w:rFonts w:ascii="Wingdings" w:hAnsi="Wingdings" w:hint="default"/>
      </w:rPr>
    </w:lvl>
    <w:lvl w:ilvl="3" w:tplc="293E9602" w:tentative="1">
      <w:start w:val="1"/>
      <w:numFmt w:val="bullet"/>
      <w:lvlText w:val=""/>
      <w:lvlJc w:val="left"/>
      <w:pPr>
        <w:ind w:left="2880" w:hanging="360"/>
      </w:pPr>
      <w:rPr>
        <w:rFonts w:ascii="Symbol" w:hAnsi="Symbol" w:hint="default"/>
      </w:rPr>
    </w:lvl>
    <w:lvl w:ilvl="4" w:tplc="75B086DA" w:tentative="1">
      <w:start w:val="1"/>
      <w:numFmt w:val="bullet"/>
      <w:lvlText w:val="o"/>
      <w:lvlJc w:val="left"/>
      <w:pPr>
        <w:ind w:left="3600" w:hanging="360"/>
      </w:pPr>
      <w:rPr>
        <w:rFonts w:ascii="Courier New" w:hAnsi="Courier New" w:cs="Courier New" w:hint="default"/>
      </w:rPr>
    </w:lvl>
    <w:lvl w:ilvl="5" w:tplc="BD169F24" w:tentative="1">
      <w:start w:val="1"/>
      <w:numFmt w:val="bullet"/>
      <w:lvlText w:val=""/>
      <w:lvlJc w:val="left"/>
      <w:pPr>
        <w:ind w:left="4320" w:hanging="360"/>
      </w:pPr>
      <w:rPr>
        <w:rFonts w:ascii="Wingdings" w:hAnsi="Wingdings" w:hint="default"/>
      </w:rPr>
    </w:lvl>
    <w:lvl w:ilvl="6" w:tplc="CCEE6136" w:tentative="1">
      <w:start w:val="1"/>
      <w:numFmt w:val="bullet"/>
      <w:lvlText w:val=""/>
      <w:lvlJc w:val="left"/>
      <w:pPr>
        <w:ind w:left="5040" w:hanging="360"/>
      </w:pPr>
      <w:rPr>
        <w:rFonts w:ascii="Symbol" w:hAnsi="Symbol" w:hint="default"/>
      </w:rPr>
    </w:lvl>
    <w:lvl w:ilvl="7" w:tplc="CEECB32A" w:tentative="1">
      <w:start w:val="1"/>
      <w:numFmt w:val="bullet"/>
      <w:lvlText w:val="o"/>
      <w:lvlJc w:val="left"/>
      <w:pPr>
        <w:ind w:left="5760" w:hanging="360"/>
      </w:pPr>
      <w:rPr>
        <w:rFonts w:ascii="Courier New" w:hAnsi="Courier New" w:cs="Courier New" w:hint="default"/>
      </w:rPr>
    </w:lvl>
    <w:lvl w:ilvl="8" w:tplc="D6ECB3E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1B"/>
    <w:rsid w:val="00000A70"/>
    <w:rsid w:val="000032B8"/>
    <w:rsid w:val="00003750"/>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2FAF"/>
    <w:rsid w:val="000532BD"/>
    <w:rsid w:val="00055C12"/>
    <w:rsid w:val="000608B0"/>
    <w:rsid w:val="0006104C"/>
    <w:rsid w:val="00064BF2"/>
    <w:rsid w:val="000667BA"/>
    <w:rsid w:val="000676A7"/>
    <w:rsid w:val="00073914"/>
    <w:rsid w:val="00074236"/>
    <w:rsid w:val="000746BD"/>
    <w:rsid w:val="00076D7D"/>
    <w:rsid w:val="00080D95"/>
    <w:rsid w:val="00087CF6"/>
    <w:rsid w:val="00090E6B"/>
    <w:rsid w:val="00091B2C"/>
    <w:rsid w:val="00092ABC"/>
    <w:rsid w:val="00097AAF"/>
    <w:rsid w:val="00097D13"/>
    <w:rsid w:val="000A4893"/>
    <w:rsid w:val="000A54E0"/>
    <w:rsid w:val="000A72C4"/>
    <w:rsid w:val="000B0E4F"/>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75E"/>
    <w:rsid w:val="000D769C"/>
    <w:rsid w:val="000E1976"/>
    <w:rsid w:val="000E20F1"/>
    <w:rsid w:val="000E5B20"/>
    <w:rsid w:val="000E7C14"/>
    <w:rsid w:val="000F094C"/>
    <w:rsid w:val="000F18A2"/>
    <w:rsid w:val="000F2A7F"/>
    <w:rsid w:val="000F3DBD"/>
    <w:rsid w:val="000F48EE"/>
    <w:rsid w:val="000F5843"/>
    <w:rsid w:val="000F6A06"/>
    <w:rsid w:val="0010154D"/>
    <w:rsid w:val="00102D3F"/>
    <w:rsid w:val="00102EC7"/>
    <w:rsid w:val="0010347D"/>
    <w:rsid w:val="0010712F"/>
    <w:rsid w:val="00110F8C"/>
    <w:rsid w:val="0011274A"/>
    <w:rsid w:val="00113522"/>
    <w:rsid w:val="0011378D"/>
    <w:rsid w:val="00115EE9"/>
    <w:rsid w:val="001169F9"/>
    <w:rsid w:val="00120797"/>
    <w:rsid w:val="0012371B"/>
    <w:rsid w:val="001245C8"/>
    <w:rsid w:val="00124653"/>
    <w:rsid w:val="001247C5"/>
    <w:rsid w:val="00127893"/>
    <w:rsid w:val="001312BB"/>
    <w:rsid w:val="00133D95"/>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19D"/>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467"/>
    <w:rsid w:val="001E2866"/>
    <w:rsid w:val="001E2CAD"/>
    <w:rsid w:val="001E34DB"/>
    <w:rsid w:val="001E37CD"/>
    <w:rsid w:val="001E4070"/>
    <w:rsid w:val="001E655E"/>
    <w:rsid w:val="001F3CB8"/>
    <w:rsid w:val="001F6B91"/>
    <w:rsid w:val="001F703C"/>
    <w:rsid w:val="00200A14"/>
    <w:rsid w:val="00200B9E"/>
    <w:rsid w:val="00200BF5"/>
    <w:rsid w:val="002010D1"/>
    <w:rsid w:val="00201338"/>
    <w:rsid w:val="0020775D"/>
    <w:rsid w:val="002116DD"/>
    <w:rsid w:val="0021383D"/>
    <w:rsid w:val="002162E7"/>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6720"/>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DA1"/>
    <w:rsid w:val="002C3203"/>
    <w:rsid w:val="002C3B07"/>
    <w:rsid w:val="002C532B"/>
    <w:rsid w:val="002C5713"/>
    <w:rsid w:val="002D05CC"/>
    <w:rsid w:val="002D305A"/>
    <w:rsid w:val="002D59C2"/>
    <w:rsid w:val="002E21B8"/>
    <w:rsid w:val="002E7DF9"/>
    <w:rsid w:val="002F097B"/>
    <w:rsid w:val="002F3111"/>
    <w:rsid w:val="002F4AEC"/>
    <w:rsid w:val="002F795D"/>
    <w:rsid w:val="00300823"/>
    <w:rsid w:val="00300D7F"/>
    <w:rsid w:val="00301638"/>
    <w:rsid w:val="0030373E"/>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6A6"/>
    <w:rsid w:val="00343A92"/>
    <w:rsid w:val="00344530"/>
    <w:rsid w:val="003446DC"/>
    <w:rsid w:val="00347927"/>
    <w:rsid w:val="00347B4A"/>
    <w:rsid w:val="003500C3"/>
    <w:rsid w:val="003523BD"/>
    <w:rsid w:val="00352681"/>
    <w:rsid w:val="003536AA"/>
    <w:rsid w:val="00353B38"/>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1247"/>
    <w:rsid w:val="00392DA1"/>
    <w:rsid w:val="00393718"/>
    <w:rsid w:val="003A0296"/>
    <w:rsid w:val="003A10BC"/>
    <w:rsid w:val="003B0619"/>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5976"/>
    <w:rsid w:val="003D726D"/>
    <w:rsid w:val="003E0875"/>
    <w:rsid w:val="003E0BB8"/>
    <w:rsid w:val="003E663A"/>
    <w:rsid w:val="003E6CB0"/>
    <w:rsid w:val="003F1F5E"/>
    <w:rsid w:val="003F286A"/>
    <w:rsid w:val="003F2E6C"/>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395"/>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34E2"/>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1FB5"/>
    <w:rsid w:val="00543374"/>
    <w:rsid w:val="00545548"/>
    <w:rsid w:val="00546923"/>
    <w:rsid w:val="00551CA6"/>
    <w:rsid w:val="00555034"/>
    <w:rsid w:val="005570D2"/>
    <w:rsid w:val="0056153F"/>
    <w:rsid w:val="00561B14"/>
    <w:rsid w:val="0056299D"/>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57D5"/>
    <w:rsid w:val="005D767D"/>
    <w:rsid w:val="005D7A30"/>
    <w:rsid w:val="005D7D3B"/>
    <w:rsid w:val="005E1999"/>
    <w:rsid w:val="005E232C"/>
    <w:rsid w:val="005E2B83"/>
    <w:rsid w:val="005E4AEB"/>
    <w:rsid w:val="005E7118"/>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17A6"/>
    <w:rsid w:val="00662B77"/>
    <w:rsid w:val="00662D0E"/>
    <w:rsid w:val="00663265"/>
    <w:rsid w:val="0066345F"/>
    <w:rsid w:val="0066485B"/>
    <w:rsid w:val="00666571"/>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4A65"/>
    <w:rsid w:val="00716211"/>
    <w:rsid w:val="00717739"/>
    <w:rsid w:val="00717DE4"/>
    <w:rsid w:val="00721724"/>
    <w:rsid w:val="00722EC5"/>
    <w:rsid w:val="00723326"/>
    <w:rsid w:val="00724252"/>
    <w:rsid w:val="00727E7A"/>
    <w:rsid w:val="0073163C"/>
    <w:rsid w:val="00731DC4"/>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0023"/>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7E4"/>
    <w:rsid w:val="007D2892"/>
    <w:rsid w:val="007D2DCC"/>
    <w:rsid w:val="007D47E1"/>
    <w:rsid w:val="007D7FCB"/>
    <w:rsid w:val="007E33B6"/>
    <w:rsid w:val="007E59E8"/>
    <w:rsid w:val="007F3861"/>
    <w:rsid w:val="007F4162"/>
    <w:rsid w:val="007F5441"/>
    <w:rsid w:val="007F7668"/>
    <w:rsid w:val="007F782B"/>
    <w:rsid w:val="00800C63"/>
    <w:rsid w:val="00802243"/>
    <w:rsid w:val="008023D4"/>
    <w:rsid w:val="00805402"/>
    <w:rsid w:val="0080765F"/>
    <w:rsid w:val="00812BE3"/>
    <w:rsid w:val="00814516"/>
    <w:rsid w:val="00815C9D"/>
    <w:rsid w:val="008170E2"/>
    <w:rsid w:val="008172AD"/>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4FE2"/>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1E12"/>
    <w:rsid w:val="008930D7"/>
    <w:rsid w:val="008947A7"/>
    <w:rsid w:val="00897E80"/>
    <w:rsid w:val="008A04FA"/>
    <w:rsid w:val="008A163F"/>
    <w:rsid w:val="008A3188"/>
    <w:rsid w:val="008A3FDF"/>
    <w:rsid w:val="008A6418"/>
    <w:rsid w:val="008B05D8"/>
    <w:rsid w:val="008B0B3D"/>
    <w:rsid w:val="008B2B1A"/>
    <w:rsid w:val="008B3428"/>
    <w:rsid w:val="008B7785"/>
    <w:rsid w:val="008C0809"/>
    <w:rsid w:val="008C132C"/>
    <w:rsid w:val="008C3FD0"/>
    <w:rsid w:val="008C7213"/>
    <w:rsid w:val="008D27A5"/>
    <w:rsid w:val="008D2AAB"/>
    <w:rsid w:val="008D309C"/>
    <w:rsid w:val="008D3608"/>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1AE9"/>
    <w:rsid w:val="00924EA9"/>
    <w:rsid w:val="00924ECB"/>
    <w:rsid w:val="00925CE1"/>
    <w:rsid w:val="00925F5C"/>
    <w:rsid w:val="00930897"/>
    <w:rsid w:val="009320D2"/>
    <w:rsid w:val="00932C77"/>
    <w:rsid w:val="0093417F"/>
    <w:rsid w:val="00934AC2"/>
    <w:rsid w:val="009375BB"/>
    <w:rsid w:val="009418E9"/>
    <w:rsid w:val="0094561B"/>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5138"/>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4D7F"/>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03"/>
    <w:rsid w:val="00B000AF"/>
    <w:rsid w:val="00B04E79"/>
    <w:rsid w:val="00B07488"/>
    <w:rsid w:val="00B075A2"/>
    <w:rsid w:val="00B10DD2"/>
    <w:rsid w:val="00B115DC"/>
    <w:rsid w:val="00B11952"/>
    <w:rsid w:val="00B11C41"/>
    <w:rsid w:val="00B14BD2"/>
    <w:rsid w:val="00B1557F"/>
    <w:rsid w:val="00B1668D"/>
    <w:rsid w:val="00B17981"/>
    <w:rsid w:val="00B22014"/>
    <w:rsid w:val="00B233BB"/>
    <w:rsid w:val="00B25612"/>
    <w:rsid w:val="00B26437"/>
    <w:rsid w:val="00B2678E"/>
    <w:rsid w:val="00B30647"/>
    <w:rsid w:val="00B31F0E"/>
    <w:rsid w:val="00B34F25"/>
    <w:rsid w:val="00B4296D"/>
    <w:rsid w:val="00B43672"/>
    <w:rsid w:val="00B473D8"/>
    <w:rsid w:val="00B5165A"/>
    <w:rsid w:val="00B524C1"/>
    <w:rsid w:val="00B52C8D"/>
    <w:rsid w:val="00B564BF"/>
    <w:rsid w:val="00B6104E"/>
    <w:rsid w:val="00B610C7"/>
    <w:rsid w:val="00B62106"/>
    <w:rsid w:val="00B626A8"/>
    <w:rsid w:val="00B65695"/>
    <w:rsid w:val="00B66526"/>
    <w:rsid w:val="00B665A3"/>
    <w:rsid w:val="00B67D31"/>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3452"/>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61C4"/>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D7FDF"/>
    <w:rsid w:val="00CE08E8"/>
    <w:rsid w:val="00CE2133"/>
    <w:rsid w:val="00CE245D"/>
    <w:rsid w:val="00CE300F"/>
    <w:rsid w:val="00CE3582"/>
    <w:rsid w:val="00CE3795"/>
    <w:rsid w:val="00CE3E20"/>
    <w:rsid w:val="00CF2D2E"/>
    <w:rsid w:val="00CF4827"/>
    <w:rsid w:val="00CF4C69"/>
    <w:rsid w:val="00CF523A"/>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4C24"/>
    <w:rsid w:val="00D2589C"/>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776"/>
    <w:rsid w:val="00D811E8"/>
    <w:rsid w:val="00D81A44"/>
    <w:rsid w:val="00D83072"/>
    <w:rsid w:val="00D83ABC"/>
    <w:rsid w:val="00D84870"/>
    <w:rsid w:val="00D869BF"/>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2E4"/>
    <w:rsid w:val="00DB53C6"/>
    <w:rsid w:val="00DB59E3"/>
    <w:rsid w:val="00DB6CB6"/>
    <w:rsid w:val="00DB758F"/>
    <w:rsid w:val="00DC1F1B"/>
    <w:rsid w:val="00DC289A"/>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5A34"/>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4CE"/>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5191"/>
    <w:rsid w:val="00F7758F"/>
    <w:rsid w:val="00F82811"/>
    <w:rsid w:val="00F84153"/>
    <w:rsid w:val="00F85661"/>
    <w:rsid w:val="00F96602"/>
    <w:rsid w:val="00F9735A"/>
    <w:rsid w:val="00FA32FC"/>
    <w:rsid w:val="00FA5671"/>
    <w:rsid w:val="00FA59FD"/>
    <w:rsid w:val="00FA5D8C"/>
    <w:rsid w:val="00FA6403"/>
    <w:rsid w:val="00FB16CD"/>
    <w:rsid w:val="00FB73AE"/>
    <w:rsid w:val="00FC0D53"/>
    <w:rsid w:val="00FC5388"/>
    <w:rsid w:val="00FC726C"/>
    <w:rsid w:val="00FD02AE"/>
    <w:rsid w:val="00FD1B4B"/>
    <w:rsid w:val="00FD1B94"/>
    <w:rsid w:val="00FD729E"/>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E229C1-8C91-4B38-BE5A-40863ADE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4561B"/>
    <w:rPr>
      <w:sz w:val="16"/>
      <w:szCs w:val="16"/>
    </w:rPr>
  </w:style>
  <w:style w:type="paragraph" w:styleId="CommentText">
    <w:name w:val="annotation text"/>
    <w:basedOn w:val="Normal"/>
    <w:link w:val="CommentTextChar"/>
    <w:semiHidden/>
    <w:unhideWhenUsed/>
    <w:rsid w:val="0094561B"/>
    <w:rPr>
      <w:sz w:val="20"/>
      <w:szCs w:val="20"/>
    </w:rPr>
  </w:style>
  <w:style w:type="character" w:customStyle="1" w:styleId="CommentTextChar">
    <w:name w:val="Comment Text Char"/>
    <w:basedOn w:val="DefaultParagraphFont"/>
    <w:link w:val="CommentText"/>
    <w:semiHidden/>
    <w:rsid w:val="0094561B"/>
  </w:style>
  <w:style w:type="paragraph" w:styleId="CommentSubject">
    <w:name w:val="annotation subject"/>
    <w:basedOn w:val="CommentText"/>
    <w:next w:val="CommentText"/>
    <w:link w:val="CommentSubjectChar"/>
    <w:semiHidden/>
    <w:unhideWhenUsed/>
    <w:rsid w:val="0094561B"/>
    <w:rPr>
      <w:b/>
      <w:bCs/>
    </w:rPr>
  </w:style>
  <w:style w:type="character" w:customStyle="1" w:styleId="CommentSubjectChar">
    <w:name w:val="Comment Subject Char"/>
    <w:basedOn w:val="CommentTextChar"/>
    <w:link w:val="CommentSubject"/>
    <w:semiHidden/>
    <w:rsid w:val="0094561B"/>
    <w:rPr>
      <w:b/>
      <w:bCs/>
    </w:rPr>
  </w:style>
  <w:style w:type="paragraph" w:styleId="ListParagraph">
    <w:name w:val="List Paragraph"/>
    <w:basedOn w:val="Normal"/>
    <w:uiPriority w:val="34"/>
    <w:qFormat/>
    <w:rsid w:val="00B11C41"/>
    <w:pPr>
      <w:ind w:left="720"/>
      <w:contextualSpacing/>
    </w:pPr>
  </w:style>
  <w:style w:type="character" w:styleId="Hyperlink">
    <w:name w:val="Hyperlink"/>
    <w:basedOn w:val="DefaultParagraphFont"/>
    <w:unhideWhenUsed/>
    <w:rsid w:val="00416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1471</Words>
  <Characters>8181</Characters>
  <Application>Microsoft Office Word</Application>
  <DocSecurity>4</DocSecurity>
  <Lines>165</Lines>
  <Paragraphs>57</Paragraphs>
  <ScaleCrop>false</ScaleCrop>
  <HeadingPairs>
    <vt:vector size="2" baseType="variant">
      <vt:variant>
        <vt:lpstr>Title</vt:lpstr>
      </vt:variant>
      <vt:variant>
        <vt:i4>1</vt:i4>
      </vt:variant>
    </vt:vector>
  </HeadingPairs>
  <TitlesOfParts>
    <vt:vector size="1" baseType="lpstr">
      <vt:lpstr>BA - SB00705 (Committee Report (Substituted))</vt:lpstr>
    </vt:vector>
  </TitlesOfParts>
  <Company>State of Texas</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23253</dc:subject>
  <dc:creator>State of Texas</dc:creator>
  <dc:description>SB 705 by Lucio-(H)Agriculture &amp; Livestock (Substitute Document Number: 87R 17183)</dc:description>
  <cp:lastModifiedBy>Damian Duarte</cp:lastModifiedBy>
  <cp:revision>2</cp:revision>
  <cp:lastPrinted>2003-11-26T17:21:00Z</cp:lastPrinted>
  <dcterms:created xsi:type="dcterms:W3CDTF">2021-05-03T14:36:00Z</dcterms:created>
  <dcterms:modified xsi:type="dcterms:W3CDTF">2021-05-03T14:36:00Z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21.118.661</vt:lpwstr>
  </property>
</Properties>
</file>