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60D9D" w14:paraId="397EF20C" w14:textId="77777777" w:rsidTr="00345119">
        <w:tc>
          <w:tcPr>
            <w:tcW w:w="9576" w:type="dxa"/>
            <w:noWrap/>
          </w:tcPr>
          <w:p w14:paraId="52F91A9E" w14:textId="77777777" w:rsidR="008423E4" w:rsidRPr="0022177D" w:rsidRDefault="00BD268A" w:rsidP="00A25C1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618773F" w14:textId="77777777" w:rsidR="008423E4" w:rsidRPr="0022177D" w:rsidRDefault="008423E4" w:rsidP="00A25C1E">
      <w:pPr>
        <w:jc w:val="center"/>
      </w:pPr>
    </w:p>
    <w:p w14:paraId="03A39145" w14:textId="77777777" w:rsidR="008423E4" w:rsidRPr="00B31F0E" w:rsidRDefault="008423E4" w:rsidP="00A25C1E"/>
    <w:p w14:paraId="3508AE54" w14:textId="77777777" w:rsidR="008423E4" w:rsidRPr="00742794" w:rsidRDefault="008423E4" w:rsidP="00A25C1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60D9D" w14:paraId="150E6776" w14:textId="77777777" w:rsidTr="00345119">
        <w:tc>
          <w:tcPr>
            <w:tcW w:w="9576" w:type="dxa"/>
          </w:tcPr>
          <w:p w14:paraId="29149114" w14:textId="5C5CC31F" w:rsidR="008423E4" w:rsidRPr="00861995" w:rsidRDefault="00BD268A" w:rsidP="00A25C1E">
            <w:pPr>
              <w:jc w:val="right"/>
            </w:pPr>
            <w:r>
              <w:t>S.B. 713</w:t>
            </w:r>
          </w:p>
        </w:tc>
      </w:tr>
      <w:tr w:rsidR="00A60D9D" w14:paraId="7DE399CA" w14:textId="77777777" w:rsidTr="00345119">
        <w:tc>
          <w:tcPr>
            <w:tcW w:w="9576" w:type="dxa"/>
          </w:tcPr>
          <w:p w14:paraId="64A3E05F" w14:textId="2D8D9DD5" w:rsidR="008423E4" w:rsidRPr="00861995" w:rsidRDefault="00BD268A" w:rsidP="00A25C1E">
            <w:pPr>
              <w:jc w:val="right"/>
            </w:pPr>
            <w:r>
              <w:t xml:space="preserve">By: </w:t>
            </w:r>
            <w:r w:rsidR="00D52349">
              <w:t>Buckingham</w:t>
            </w:r>
          </w:p>
        </w:tc>
      </w:tr>
      <w:tr w:rsidR="00A60D9D" w14:paraId="6B0C91E5" w14:textId="77777777" w:rsidTr="00345119">
        <w:tc>
          <w:tcPr>
            <w:tcW w:w="9576" w:type="dxa"/>
          </w:tcPr>
          <w:p w14:paraId="1F8FCF33" w14:textId="2E50EB91" w:rsidR="008423E4" w:rsidRPr="00861995" w:rsidRDefault="00BD268A" w:rsidP="00A25C1E">
            <w:pPr>
              <w:jc w:val="right"/>
            </w:pPr>
            <w:r>
              <w:t>State Affairs</w:t>
            </w:r>
          </w:p>
        </w:tc>
      </w:tr>
      <w:tr w:rsidR="00A60D9D" w14:paraId="015A7BC1" w14:textId="77777777" w:rsidTr="00345119">
        <w:tc>
          <w:tcPr>
            <w:tcW w:w="9576" w:type="dxa"/>
          </w:tcPr>
          <w:p w14:paraId="5C45EB23" w14:textId="75F431FB" w:rsidR="008423E4" w:rsidRDefault="00BD268A" w:rsidP="00A25C1E">
            <w:pPr>
              <w:jc w:val="right"/>
            </w:pPr>
            <w:r>
              <w:t>Committee Report (Unamended)</w:t>
            </w:r>
          </w:p>
        </w:tc>
      </w:tr>
    </w:tbl>
    <w:p w14:paraId="074A4D05" w14:textId="77777777" w:rsidR="008423E4" w:rsidRDefault="008423E4" w:rsidP="00A25C1E">
      <w:pPr>
        <w:tabs>
          <w:tab w:val="right" w:pos="9360"/>
        </w:tabs>
      </w:pPr>
    </w:p>
    <w:p w14:paraId="48796B3E" w14:textId="77777777" w:rsidR="008423E4" w:rsidRDefault="008423E4" w:rsidP="00A25C1E"/>
    <w:p w14:paraId="7514183A" w14:textId="77777777" w:rsidR="008423E4" w:rsidRDefault="008423E4" w:rsidP="00A25C1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60D9D" w14:paraId="20195C46" w14:textId="77777777" w:rsidTr="00345119">
        <w:tc>
          <w:tcPr>
            <w:tcW w:w="9576" w:type="dxa"/>
          </w:tcPr>
          <w:p w14:paraId="1EF26468" w14:textId="77777777" w:rsidR="008423E4" w:rsidRPr="00A8133F" w:rsidRDefault="00BD268A" w:rsidP="00A25C1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4029CA8" w14:textId="77777777" w:rsidR="008423E4" w:rsidRDefault="008423E4" w:rsidP="00A25C1E"/>
          <w:p w14:paraId="0340BFB0" w14:textId="0F0B7399" w:rsidR="008423E4" w:rsidRDefault="00BD268A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713 is the </w:t>
            </w:r>
            <w:r w:rsidR="001A2608">
              <w:t>s</w:t>
            </w:r>
            <w:r>
              <w:t xml:space="preserve">unset schedule bill, which is filed each session to make necessary adjustments to better align agencies set for review by the Sunset Advisory Commission </w:t>
            </w:r>
            <w:r w:rsidR="00AC5034">
              <w:t xml:space="preserve">during the </w:t>
            </w:r>
            <w:r>
              <w:t>upcoming review cycle</w:t>
            </w:r>
            <w:r w:rsidR="00BE530A">
              <w:t>s</w:t>
            </w:r>
            <w:r>
              <w:t xml:space="preserve"> and balance the commission's review workload. The bill also updates </w:t>
            </w:r>
            <w:r w:rsidR="00A836E5">
              <w:t xml:space="preserve">a </w:t>
            </w:r>
            <w:r>
              <w:t xml:space="preserve">provision governing the sunset review process to </w:t>
            </w:r>
            <w:r w:rsidR="006C40D8">
              <w:t xml:space="preserve">allow for exemptions </w:t>
            </w:r>
            <w:r>
              <w:t xml:space="preserve">during </w:t>
            </w:r>
            <w:r w:rsidR="00A32C8A">
              <w:t xml:space="preserve">a </w:t>
            </w:r>
            <w:r>
              <w:t xml:space="preserve">declared disaster, such as </w:t>
            </w:r>
            <w:r w:rsidR="00B53ECC">
              <w:t xml:space="preserve">the </w:t>
            </w:r>
            <w:r>
              <w:t>COVID-19</w:t>
            </w:r>
            <w:r w:rsidR="00B53ECC">
              <w:t xml:space="preserve"> pandemic</w:t>
            </w:r>
            <w:r>
              <w:t>.</w:t>
            </w:r>
          </w:p>
          <w:p w14:paraId="66067091" w14:textId="77777777" w:rsidR="008423E4" w:rsidRPr="00E26B13" w:rsidRDefault="008423E4" w:rsidP="00A25C1E">
            <w:pPr>
              <w:rPr>
                <w:b/>
              </w:rPr>
            </w:pPr>
          </w:p>
        </w:tc>
      </w:tr>
      <w:tr w:rsidR="00A60D9D" w14:paraId="524C72D5" w14:textId="77777777" w:rsidTr="00345119">
        <w:tc>
          <w:tcPr>
            <w:tcW w:w="9576" w:type="dxa"/>
          </w:tcPr>
          <w:p w14:paraId="07F59BA3" w14:textId="77777777" w:rsidR="0017725B" w:rsidRDefault="00BD268A" w:rsidP="00A25C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4606426" w14:textId="77777777" w:rsidR="0017725B" w:rsidRDefault="0017725B" w:rsidP="00A25C1E">
            <w:pPr>
              <w:rPr>
                <w:b/>
                <w:u w:val="single"/>
              </w:rPr>
            </w:pPr>
          </w:p>
          <w:p w14:paraId="04047359" w14:textId="1328B1FA" w:rsidR="00E05EE5" w:rsidRPr="00E05EE5" w:rsidRDefault="00BD268A" w:rsidP="00A25C1E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14:paraId="5BB538AF" w14:textId="77777777" w:rsidR="0017725B" w:rsidRPr="0017725B" w:rsidRDefault="0017725B" w:rsidP="00A25C1E">
            <w:pPr>
              <w:rPr>
                <w:b/>
                <w:u w:val="single"/>
              </w:rPr>
            </w:pPr>
          </w:p>
        </w:tc>
      </w:tr>
      <w:tr w:rsidR="00A60D9D" w14:paraId="18951E07" w14:textId="77777777" w:rsidTr="00345119">
        <w:tc>
          <w:tcPr>
            <w:tcW w:w="9576" w:type="dxa"/>
          </w:tcPr>
          <w:p w14:paraId="59DE2660" w14:textId="77777777" w:rsidR="008423E4" w:rsidRPr="00A8133F" w:rsidRDefault="00BD268A" w:rsidP="00A25C1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A731847" w14:textId="77777777" w:rsidR="008423E4" w:rsidRDefault="008423E4" w:rsidP="00A25C1E"/>
          <w:p w14:paraId="272FBC8C" w14:textId="783B9200" w:rsidR="00E05EE5" w:rsidRDefault="00BD268A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14:paraId="3262EFC5" w14:textId="77777777" w:rsidR="008423E4" w:rsidRPr="00E21FDC" w:rsidRDefault="008423E4" w:rsidP="00A25C1E">
            <w:pPr>
              <w:rPr>
                <w:b/>
              </w:rPr>
            </w:pPr>
          </w:p>
        </w:tc>
      </w:tr>
      <w:tr w:rsidR="00A60D9D" w14:paraId="2810D18B" w14:textId="77777777" w:rsidTr="00345119">
        <w:tc>
          <w:tcPr>
            <w:tcW w:w="9576" w:type="dxa"/>
          </w:tcPr>
          <w:p w14:paraId="2BADB4A2" w14:textId="77777777" w:rsidR="008423E4" w:rsidRPr="00A8133F" w:rsidRDefault="00BD268A" w:rsidP="00A25C1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1F76645" w14:textId="77777777" w:rsidR="008423E4" w:rsidRDefault="008423E4" w:rsidP="00A25C1E"/>
          <w:p w14:paraId="4B1B407B" w14:textId="650AB394" w:rsidR="0090441B" w:rsidRDefault="00BD268A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713</w:t>
            </w:r>
            <w:r w:rsidR="007B7472">
              <w:t xml:space="preserve"> amends the Government Code, Health and Safety Code, Insurance Code, Labor Code, Occupations Code, and Utilities Code</w:t>
            </w:r>
            <w:r w:rsidR="007520BB">
              <w:t xml:space="preserve">, as well as </w:t>
            </w:r>
            <w:r w:rsidR="007520BB" w:rsidRPr="007520BB">
              <w:t>Section 1A(a), Chapter 426, Acts of the 45th Legislature, Regular Session, 1937,</w:t>
            </w:r>
            <w:r w:rsidR="007B7472">
              <w:t xml:space="preserve"> to </w:t>
            </w:r>
            <w:r w:rsidR="00864CB1">
              <w:t xml:space="preserve">make </w:t>
            </w:r>
            <w:r w:rsidR="00FD6877">
              <w:t>change</w:t>
            </w:r>
            <w:r w:rsidR="00864CB1">
              <w:t>s</w:t>
            </w:r>
            <w:r w:rsidR="00FD6877">
              <w:t xml:space="preserve"> </w:t>
            </w:r>
            <w:r w:rsidR="001A7CE7">
              <w:t xml:space="preserve">to </w:t>
            </w:r>
            <w:r w:rsidR="00FD6877">
              <w:t xml:space="preserve">the review </w:t>
            </w:r>
            <w:r w:rsidR="008210CA">
              <w:t>cycle</w:t>
            </w:r>
            <w:r w:rsidR="00C41ECB">
              <w:t xml:space="preserve"> for certain state </w:t>
            </w:r>
            <w:r w:rsidR="00D81A6E">
              <w:t xml:space="preserve">agencies </w:t>
            </w:r>
            <w:r w:rsidR="00665870">
              <w:t xml:space="preserve">and other entities </w:t>
            </w:r>
            <w:r w:rsidR="00FD6877">
              <w:t xml:space="preserve">under the Texas Sunset Act </w:t>
            </w:r>
            <w:r w:rsidR="00864CB1">
              <w:t xml:space="preserve">as indicated below. </w:t>
            </w:r>
            <w:r w:rsidR="00864CB1" w:rsidRPr="00FA7729">
              <w:t xml:space="preserve">Additionally, the bill </w:t>
            </w:r>
            <w:r w:rsidR="00FA7729" w:rsidRPr="00FA7729">
              <w:t>r</w:t>
            </w:r>
            <w:r w:rsidR="00FA7729">
              <w:t>epeals</w:t>
            </w:r>
            <w:r w:rsidR="00FA7729" w:rsidRPr="00FA7729">
              <w:t xml:space="preserve"> certain </w:t>
            </w:r>
            <w:r w:rsidR="00B65C8E">
              <w:t>sunset review requirements</w:t>
            </w:r>
            <w:r w:rsidR="00FA7729" w:rsidRPr="00FA7729">
              <w:t xml:space="preserve"> and </w:t>
            </w:r>
            <w:r w:rsidR="00FA7729" w:rsidRPr="00A32C8A">
              <w:t xml:space="preserve">provides for exemptions from </w:t>
            </w:r>
            <w:r w:rsidR="00A32C8A">
              <w:t xml:space="preserve">the </w:t>
            </w:r>
            <w:r w:rsidR="00FA7729" w:rsidRPr="00A32C8A">
              <w:t>sunset review process</w:t>
            </w:r>
            <w:r w:rsidR="00FA7729" w:rsidRPr="00FA7729">
              <w:t xml:space="preserve"> during a declared disaster.</w:t>
            </w:r>
            <w:r w:rsidR="00FA7729">
              <w:t xml:space="preserve"> </w:t>
            </w:r>
          </w:p>
          <w:p w14:paraId="6F85793C" w14:textId="77777777" w:rsidR="00FD6877" w:rsidRDefault="00FD6877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E88E8BB" w14:textId="77777777" w:rsidR="00864CB1" w:rsidRPr="00864CB1" w:rsidRDefault="00BD268A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rPr>
                <w:b/>
              </w:rPr>
              <w:t>Sunset Review Cycle Changes</w:t>
            </w:r>
          </w:p>
          <w:p w14:paraId="15554A8B" w14:textId="77777777" w:rsidR="00864CB1" w:rsidRDefault="00864CB1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78F893E" w14:textId="5246738F" w:rsidR="0062045B" w:rsidRDefault="00BD268A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713 </w:t>
            </w:r>
            <w:r w:rsidRPr="000E7E5E">
              <w:t>officially</w:t>
            </w:r>
            <w:r>
              <w:t xml:space="preserve"> postpones the sunset review of the following </w:t>
            </w:r>
            <w:r w:rsidR="000D5C04">
              <w:t xml:space="preserve">entities </w:t>
            </w:r>
            <w:r>
              <w:t>from</w:t>
            </w:r>
            <w:r w:rsidR="008213FC">
              <w:t xml:space="preserve"> the</w:t>
            </w:r>
            <w:r>
              <w:t xml:space="preserve"> 2020-2021 review cycle to the 2022-2023 review cycle</w:t>
            </w:r>
            <w:r w:rsidRPr="000E7E5E">
              <w:t xml:space="preserve">, reflecting the </w:t>
            </w:r>
            <w:r w:rsidR="00A836E5">
              <w:t>Sunset</w:t>
            </w:r>
            <w:r w:rsidR="00262251">
              <w:t xml:space="preserve"> Advisory</w:t>
            </w:r>
            <w:r w:rsidR="00A836E5">
              <w:t xml:space="preserve"> Commission's determination</w:t>
            </w:r>
            <w:r w:rsidR="00A836E5" w:rsidRPr="000E7E5E">
              <w:t xml:space="preserve"> </w:t>
            </w:r>
            <w:r w:rsidRPr="000E7E5E">
              <w:t>that the agencies were unable to be reviewed due to their involvement in the response to the COVID-19 pandemic</w:t>
            </w:r>
            <w:r>
              <w:t>:</w:t>
            </w:r>
          </w:p>
          <w:p w14:paraId="2890B597" w14:textId="77777777" w:rsidR="0062045B" w:rsidRDefault="00BD268A" w:rsidP="00A25C1E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Texas Economic Development </w:t>
            </w:r>
            <w:r>
              <w:t>and Tourism Office; and</w:t>
            </w:r>
          </w:p>
          <w:p w14:paraId="7A172738" w14:textId="77777777" w:rsidR="0062045B" w:rsidRDefault="00BD268A" w:rsidP="00A25C1E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jc w:val="both"/>
            </w:pPr>
            <w:r>
              <w:t>the Office of State-Federal Relations.</w:t>
            </w:r>
          </w:p>
          <w:p w14:paraId="788D8156" w14:textId="7CB8C949" w:rsidR="0062045B" w:rsidRDefault="0062045B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80EEA7C" w14:textId="55F59EBC" w:rsidR="0062045B" w:rsidRDefault="00BD268A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3113C">
              <w:t xml:space="preserve">S.B. 713 provides for another review of the </w:t>
            </w:r>
            <w:r w:rsidR="00A836E5">
              <w:t xml:space="preserve">San Jacinto River Authority </w:t>
            </w:r>
            <w:r w:rsidRPr="0083113C">
              <w:t>during the 2022-2023 review cycle.</w:t>
            </w:r>
          </w:p>
          <w:p w14:paraId="1D51194F" w14:textId="77777777" w:rsidR="0062045B" w:rsidRDefault="0062045B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4196CAC" w14:textId="07733D75" w:rsidR="00FD6877" w:rsidRDefault="00BD268A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713 moves forward the sunset review for the following </w:t>
            </w:r>
            <w:r w:rsidR="000D5C04">
              <w:t xml:space="preserve">entities </w:t>
            </w:r>
            <w:r>
              <w:t xml:space="preserve">from </w:t>
            </w:r>
            <w:r w:rsidR="00221324">
              <w:t>the 2024-</w:t>
            </w:r>
            <w:r>
              <w:t>20</w:t>
            </w:r>
            <w:r>
              <w:t xml:space="preserve">25 </w:t>
            </w:r>
            <w:r w:rsidR="008210CA">
              <w:t>review cycle</w:t>
            </w:r>
            <w:r w:rsidR="00221324">
              <w:t xml:space="preserve"> </w:t>
            </w:r>
            <w:r>
              <w:t xml:space="preserve">to </w:t>
            </w:r>
            <w:r w:rsidR="00221324">
              <w:t>the 2022-</w:t>
            </w:r>
            <w:r>
              <w:t>2023</w:t>
            </w:r>
            <w:r w:rsidR="00221324">
              <w:t xml:space="preserve"> </w:t>
            </w:r>
            <w:r w:rsidR="008210CA">
              <w:t>review cycle</w:t>
            </w:r>
            <w:r>
              <w:t>:</w:t>
            </w:r>
          </w:p>
          <w:p w14:paraId="5E6AC279" w14:textId="4AD77EB8" w:rsidR="00FD6877" w:rsidRDefault="00BD268A" w:rsidP="00A25C1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the Public Utility Commission of Texas</w:t>
            </w:r>
            <w:r w:rsidR="00956F02">
              <w:t xml:space="preserve">, which would also effectively adjust the review date for </w:t>
            </w:r>
            <w:r w:rsidR="001246D8">
              <w:t>ERCOT</w:t>
            </w:r>
            <w:r w:rsidR="00956F02">
              <w:t xml:space="preserve"> to the same review cycle</w:t>
            </w:r>
            <w:r>
              <w:t>; and</w:t>
            </w:r>
          </w:p>
          <w:p w14:paraId="40B37A71" w14:textId="77777777" w:rsidR="00FD6877" w:rsidRDefault="00BD268A" w:rsidP="00A25C1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the Office of Public Utility Counsel.</w:t>
            </w:r>
          </w:p>
          <w:p w14:paraId="736E070F" w14:textId="77777777" w:rsidR="00FD6877" w:rsidRDefault="00FD6877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F11D2BF" w14:textId="2612B296" w:rsidR="00FD6877" w:rsidRDefault="00BD268A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713 postpones the sunset review o</w:t>
            </w:r>
            <w:r>
              <w:t xml:space="preserve">f the following </w:t>
            </w:r>
            <w:r w:rsidR="000D5C04">
              <w:t xml:space="preserve">entities </w:t>
            </w:r>
            <w:r>
              <w:t xml:space="preserve">from </w:t>
            </w:r>
            <w:r w:rsidR="00221324">
              <w:t>the 2022-</w:t>
            </w:r>
            <w:r>
              <w:t xml:space="preserve">2023 </w:t>
            </w:r>
            <w:r w:rsidR="008210CA">
              <w:t>review cycle</w:t>
            </w:r>
            <w:r w:rsidR="00221324">
              <w:t xml:space="preserve"> </w:t>
            </w:r>
            <w:r>
              <w:t xml:space="preserve">to </w:t>
            </w:r>
            <w:r w:rsidR="00221324">
              <w:t>the 2024-</w:t>
            </w:r>
            <w:r>
              <w:t>2025</w:t>
            </w:r>
            <w:r w:rsidR="00221324">
              <w:t xml:space="preserve"> </w:t>
            </w:r>
            <w:r w:rsidR="008210CA">
              <w:t>review cycle</w:t>
            </w:r>
            <w:r>
              <w:t>:</w:t>
            </w:r>
          </w:p>
          <w:p w14:paraId="49CEC360" w14:textId="77777777" w:rsidR="00FD6877" w:rsidRDefault="00BD268A" w:rsidP="00A25C1E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the Texas Department of Insurance (TDI);</w:t>
            </w:r>
          </w:p>
          <w:p w14:paraId="1C2A197C" w14:textId="77777777" w:rsidR="00FD6877" w:rsidRDefault="00BD268A" w:rsidP="00A25C1E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the workers' compensation division of TDI;</w:t>
            </w:r>
          </w:p>
          <w:p w14:paraId="16207B32" w14:textId="77777777" w:rsidR="00FD6877" w:rsidRDefault="00BD268A" w:rsidP="00A25C1E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the Office of Public Insurance Counsel; and</w:t>
            </w:r>
          </w:p>
          <w:p w14:paraId="7722FC23" w14:textId="77777777" w:rsidR="00FD6877" w:rsidRDefault="00BD268A" w:rsidP="00A25C1E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the office of injured employee counsel.</w:t>
            </w:r>
          </w:p>
          <w:p w14:paraId="142FB5CA" w14:textId="559C0B40" w:rsidR="00FD6877" w:rsidRDefault="00FD6877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E687C13" w14:textId="34453461" w:rsidR="000B333E" w:rsidRDefault="00BD268A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713 </w:t>
            </w:r>
            <w:r w:rsidRPr="000B333E">
              <w:t xml:space="preserve">postpones the sunset review of the following </w:t>
            </w:r>
            <w:r w:rsidR="000D5C04">
              <w:t xml:space="preserve">entities </w:t>
            </w:r>
            <w:r w:rsidRPr="000B333E">
              <w:t>from the 2022-2023 review cycle to the 202</w:t>
            </w:r>
            <w:r>
              <w:t>6-2027</w:t>
            </w:r>
            <w:r w:rsidRPr="000B333E">
              <w:t xml:space="preserve"> review cycle</w:t>
            </w:r>
            <w:r>
              <w:t>:</w:t>
            </w:r>
          </w:p>
          <w:p w14:paraId="260C4F45" w14:textId="521D4894" w:rsidR="000B333E" w:rsidRDefault="00BD268A" w:rsidP="00A25C1E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the Texas Public Finance Authority;</w:t>
            </w:r>
          </w:p>
          <w:p w14:paraId="487634A0" w14:textId="70F86854" w:rsidR="000B333E" w:rsidRDefault="00BD268A" w:rsidP="00A25C1E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the Texas State Affordable Housing Corporation; and</w:t>
            </w:r>
          </w:p>
          <w:p w14:paraId="04C74BB1" w14:textId="50D6E11C" w:rsidR="000B333E" w:rsidRDefault="00BD268A" w:rsidP="00A25C1E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Commission on State Emergency </w:t>
            </w:r>
            <w:r>
              <w:t>Communications.</w:t>
            </w:r>
          </w:p>
          <w:p w14:paraId="5E86E110" w14:textId="0ECF0BC8" w:rsidR="000B333E" w:rsidRDefault="000B333E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803BF23" w14:textId="6358D55B" w:rsidR="000B333E" w:rsidRDefault="00BD268A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713 postpones the sunset review of the Cancer Prevention and Research Institute of Texas from the 2022-2023 review </w:t>
            </w:r>
            <w:r w:rsidR="008035AA">
              <w:t>cycle</w:t>
            </w:r>
            <w:r>
              <w:t xml:space="preserve"> to the 2028-2029 review cycle.</w:t>
            </w:r>
          </w:p>
          <w:p w14:paraId="1F629746" w14:textId="77777777" w:rsidR="000B333E" w:rsidRDefault="000B333E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55DCF97" w14:textId="052C2D2D" w:rsidR="00FD6877" w:rsidRDefault="00BD268A" w:rsidP="00A25C1E">
            <w:pPr>
              <w:pStyle w:val="Header"/>
              <w:jc w:val="both"/>
            </w:pPr>
            <w:r>
              <w:t xml:space="preserve">S.B. 713 </w:t>
            </w:r>
            <w:r w:rsidR="005A7E11" w:rsidRPr="00A32C8A">
              <w:t xml:space="preserve">foregoes </w:t>
            </w:r>
            <w:r w:rsidR="006D56A1" w:rsidRPr="00A32C8A">
              <w:t>passage of legislation</w:t>
            </w:r>
            <w:r w:rsidR="006D56A1">
              <w:t xml:space="preserve"> following </w:t>
            </w:r>
            <w:r>
              <w:t xml:space="preserve">the </w:t>
            </w:r>
            <w:r w:rsidR="006D56A1">
              <w:t xml:space="preserve">2020-2021 </w:t>
            </w:r>
            <w:r w:rsidR="009A2D26" w:rsidRPr="00831677">
              <w:t>limited-scope</w:t>
            </w:r>
            <w:r w:rsidR="009A2D26">
              <w:t xml:space="preserve"> </w:t>
            </w:r>
            <w:r>
              <w:t>su</w:t>
            </w:r>
            <w:r>
              <w:t>nset review of the State Board of Veterinary Medical Examiners</w:t>
            </w:r>
            <w:r w:rsidR="00221324">
              <w:t xml:space="preserve"> (TBVME)</w:t>
            </w:r>
            <w:r>
              <w:t xml:space="preserve"> </w:t>
            </w:r>
            <w:r w:rsidR="005A7E11">
              <w:t xml:space="preserve">and schedules the next full sunset review for </w:t>
            </w:r>
            <w:r w:rsidR="00221324">
              <w:t>the 2028-</w:t>
            </w:r>
            <w:r>
              <w:t>2029</w:t>
            </w:r>
            <w:r w:rsidR="00221324">
              <w:t xml:space="preserve"> </w:t>
            </w:r>
            <w:r w:rsidR="008210CA">
              <w:t>review cycle</w:t>
            </w:r>
            <w:r>
              <w:t>.</w:t>
            </w:r>
            <w:r w:rsidR="00AF63E6">
              <w:t xml:space="preserve"> The bill </w:t>
            </w:r>
            <w:r w:rsidR="00005248">
              <w:t xml:space="preserve">provides for a limited-scope, special purpose review of the TBVME for the 88th Legislature and an effectiveness audit of the TBVME by the state auditor related to certain data-related processes and procedures and the implementation of related recommendations of the Sunset Advisory Commission. The bill sets out related provisions, including a prohibition against the auditor beginning the audit before December 1, 2023, and </w:t>
            </w:r>
            <w:r w:rsidR="00E74837">
              <w:t xml:space="preserve">a requirement for </w:t>
            </w:r>
            <w:r w:rsidR="00005248">
              <w:t>the auditor to prepare and submit a report of find</w:t>
            </w:r>
            <w:r w:rsidR="00E74837">
              <w:t>ing</w:t>
            </w:r>
            <w:r w:rsidR="00005248">
              <w:t xml:space="preserve">s to the </w:t>
            </w:r>
            <w:r w:rsidR="00861CAC">
              <w:t xml:space="preserve">sunset </w:t>
            </w:r>
            <w:r w:rsidR="00005248">
              <w:t>commission's chair and executive director not later than December 1, 2024.</w:t>
            </w:r>
          </w:p>
          <w:p w14:paraId="7AF19916" w14:textId="77777777" w:rsidR="00221324" w:rsidRDefault="00221324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A857760" w14:textId="4041274F" w:rsidR="008035AA" w:rsidRDefault="00BD268A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713</w:t>
            </w:r>
            <w:r w:rsidR="00221324">
              <w:t xml:space="preserve"> postpones the sunset review of the </w:t>
            </w:r>
            <w:r>
              <w:t xml:space="preserve">following </w:t>
            </w:r>
            <w:r w:rsidR="000D5C04">
              <w:t xml:space="preserve">entities </w:t>
            </w:r>
            <w:r w:rsidR="00221324">
              <w:t xml:space="preserve">from the 2024-2025 </w:t>
            </w:r>
            <w:r w:rsidR="008210CA">
              <w:t>review cycle</w:t>
            </w:r>
            <w:r w:rsidR="00221324">
              <w:t xml:space="preserve"> to the 2030-2031 </w:t>
            </w:r>
            <w:r w:rsidR="008210CA">
              <w:t>review cycle</w:t>
            </w:r>
            <w:r>
              <w:t>:</w:t>
            </w:r>
          </w:p>
          <w:p w14:paraId="218ADAE7" w14:textId="1E8DE548" w:rsidR="00221324" w:rsidRDefault="00BD268A" w:rsidP="00A25C1E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>
              <w:t>the Texas Real Estate Commission; and</w:t>
            </w:r>
          </w:p>
          <w:p w14:paraId="663388E8" w14:textId="0C7218C7" w:rsidR="00625E87" w:rsidRDefault="00BD268A" w:rsidP="00A25C1E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>
              <w:t>the Texas Appraiser Licensing and Certification Board.</w:t>
            </w:r>
          </w:p>
          <w:p w14:paraId="31AE3553" w14:textId="7D08D5D0" w:rsidR="00861CAC" w:rsidRDefault="00861CAC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6FF8499" w14:textId="5EEF7D8C" w:rsidR="00861CAC" w:rsidRDefault="00BD268A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rPr>
                <w:b/>
              </w:rPr>
              <w:t>Entity Removed From Sunset Review</w:t>
            </w:r>
          </w:p>
          <w:p w14:paraId="0183BE4B" w14:textId="567478A3" w:rsidR="00861CAC" w:rsidRDefault="00861CAC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  <w:p w14:paraId="6D7BC6D7" w14:textId="1B19D552" w:rsidR="000D5C04" w:rsidRDefault="00BD268A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713</w:t>
            </w:r>
            <w:r w:rsidR="00861CAC">
              <w:t xml:space="preserve"> repeals </w:t>
            </w:r>
            <w:r w:rsidR="00072843">
              <w:t>the provision</w:t>
            </w:r>
            <w:r w:rsidR="00A64553">
              <w:t xml:space="preserve"> subject</w:t>
            </w:r>
            <w:r w:rsidR="00072843">
              <w:t>ing</w:t>
            </w:r>
            <w:r w:rsidR="00A64553">
              <w:t xml:space="preserve"> the Texas A&amp;M Forest Service to the sunset review process.</w:t>
            </w:r>
          </w:p>
          <w:p w14:paraId="6D0FD403" w14:textId="06FB31E3" w:rsidR="009A7533" w:rsidRDefault="009A7533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DB57487" w14:textId="46493625" w:rsidR="009A7533" w:rsidRPr="00E3737A" w:rsidRDefault="00BD268A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rPr>
                <w:b/>
              </w:rPr>
              <w:t>Limited Reviews Removed From Sunset Review</w:t>
            </w:r>
          </w:p>
          <w:p w14:paraId="4D44EDAA" w14:textId="0643E2CE" w:rsidR="00861CAC" w:rsidRDefault="00861CAC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06FCD98" w14:textId="0F688BA3" w:rsidR="00A64553" w:rsidRDefault="00BD268A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713 repeals </w:t>
            </w:r>
            <w:r w:rsidR="009A7533">
              <w:t>provisions that</w:t>
            </w:r>
            <w:r>
              <w:t xml:space="preserve"> provide for a limited-scope sunset review of the Health and Human Services Commission</w:t>
            </w:r>
            <w:r w:rsidR="0062045B">
              <w:t xml:space="preserve"> (HHSC)</w:t>
            </w:r>
            <w:r>
              <w:t xml:space="preserve"> during </w:t>
            </w:r>
            <w:r w:rsidRPr="00A32C8A">
              <w:t>the 2022-2023</w:t>
            </w:r>
            <w:r>
              <w:t xml:space="preserve"> state fiscal biennium regarding the consolidation of the state's health and human services system</w:t>
            </w:r>
            <w:r w:rsidR="0062045B">
              <w:t xml:space="preserve"> and the need to continue the Department of State Health Services and the Department of Family and Protective Services as stand-alone agencies</w:t>
            </w:r>
            <w:r>
              <w:t>.</w:t>
            </w:r>
          </w:p>
          <w:p w14:paraId="7F1FE88D" w14:textId="34F2D737" w:rsidR="0062045B" w:rsidRDefault="0062045B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337319E" w14:textId="48252C50" w:rsidR="0062045B" w:rsidRDefault="00BD268A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713 repeals </w:t>
            </w:r>
            <w:r w:rsidR="009A7533">
              <w:t>provisions</w:t>
            </w:r>
            <w:r>
              <w:t xml:space="preserve"> requir</w:t>
            </w:r>
            <w:r w:rsidR="009A7533">
              <w:t>ing</w:t>
            </w:r>
            <w:r>
              <w:t xml:space="preserve"> the </w:t>
            </w:r>
            <w:r w:rsidR="009F1288">
              <w:t>s</w:t>
            </w:r>
            <w:r w:rsidRPr="00A32C8A">
              <w:t xml:space="preserve">unset </w:t>
            </w:r>
            <w:r w:rsidR="009F1288">
              <w:t>c</w:t>
            </w:r>
            <w:r w:rsidRPr="00A32C8A">
              <w:t>ommission</w:t>
            </w:r>
            <w:r>
              <w:t xml:space="preserve"> to conduct a special-purpose review of the </w:t>
            </w:r>
            <w:r w:rsidRPr="0062045B">
              <w:t xml:space="preserve">overall performance of the </w:t>
            </w:r>
            <w:r>
              <w:t>HHSC</w:t>
            </w:r>
            <w:r w:rsidRPr="0062045B">
              <w:t xml:space="preserve"> office of inspector general</w:t>
            </w:r>
            <w:r>
              <w:t xml:space="preserve"> during the 2022</w:t>
            </w:r>
            <w:r w:rsidR="00302B88">
              <w:noBreakHyphen/>
            </w:r>
            <w:r>
              <w:t>2023 review cycle.</w:t>
            </w:r>
          </w:p>
          <w:p w14:paraId="62B4A2F2" w14:textId="44389DE7" w:rsidR="00072843" w:rsidRDefault="00072843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9274174" w14:textId="62F1D92F" w:rsidR="00072843" w:rsidRDefault="00BD268A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rPr>
                <w:b/>
              </w:rPr>
              <w:t>Procedures During Declared Disaster</w:t>
            </w:r>
          </w:p>
          <w:p w14:paraId="7325D8EE" w14:textId="77777777" w:rsidR="00072843" w:rsidRPr="00E3737A" w:rsidRDefault="00072843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  <w:p w14:paraId="4B0E7FB5" w14:textId="0387AA3B" w:rsidR="00072843" w:rsidRDefault="00BD268A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713 aut</w:t>
            </w:r>
            <w:r>
              <w:t>horizes the sunset c</w:t>
            </w:r>
            <w:r w:rsidRPr="00FA7729">
              <w:t>ommission</w:t>
            </w:r>
            <w:r>
              <w:t xml:space="preserve"> to exempt an agency </w:t>
            </w:r>
            <w:r w:rsidRPr="00625E87">
              <w:t xml:space="preserve">from the requirements of </w:t>
            </w:r>
            <w:r>
              <w:t>the Texas Sunset Act</w:t>
            </w:r>
            <w:r w:rsidRPr="00625E87">
              <w:t xml:space="preserve"> relating to staff reports, hearings, and reviews</w:t>
            </w:r>
            <w:r>
              <w:t xml:space="preserve"> in an applicable review cycle if the </w:t>
            </w:r>
            <w:r w:rsidRPr="00FA7729">
              <w:t>commission</w:t>
            </w:r>
            <w:r>
              <w:t xml:space="preserve"> determines the agency is unable to participate in the review du</w:t>
            </w:r>
            <w:r>
              <w:t>e to a declared disaster.</w:t>
            </w:r>
          </w:p>
          <w:p w14:paraId="31CA2BB2" w14:textId="711DECB9" w:rsidR="00072843" w:rsidRDefault="00072843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40F574A" w14:textId="1F971890" w:rsidR="00072843" w:rsidRDefault="00BD268A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rPr>
                <w:b/>
              </w:rPr>
              <w:t>Repealers</w:t>
            </w:r>
          </w:p>
          <w:p w14:paraId="0295FF6B" w14:textId="0619530A" w:rsidR="00072843" w:rsidRDefault="00072843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  <w:p w14:paraId="149353E4" w14:textId="0DAAFFB9" w:rsidR="00072843" w:rsidRDefault="00BD268A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713 repeals the following provisions:</w:t>
            </w:r>
          </w:p>
          <w:p w14:paraId="742119A5" w14:textId="56E0FA20" w:rsidR="00072843" w:rsidRDefault="00BD268A" w:rsidP="00A25C1E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jc w:val="both"/>
            </w:pPr>
            <w:r w:rsidRPr="00072843">
              <w:t>Section 88.1016, Education Code</w:t>
            </w:r>
            <w:r>
              <w:t>;</w:t>
            </w:r>
          </w:p>
          <w:p w14:paraId="0FE876A5" w14:textId="730D0923" w:rsidR="00072843" w:rsidRDefault="00BD268A" w:rsidP="00A25C1E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jc w:val="both"/>
            </w:pPr>
            <w:r w:rsidRPr="00072843">
              <w:t>Section 531.0206, Government Code</w:t>
            </w:r>
            <w:r>
              <w:t>; and</w:t>
            </w:r>
          </w:p>
          <w:p w14:paraId="56246A11" w14:textId="554DC694" w:rsidR="00072843" w:rsidRPr="00072843" w:rsidRDefault="00BD268A" w:rsidP="00A25C1E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jc w:val="both"/>
            </w:pPr>
            <w:r w:rsidRPr="00072843">
              <w:t>Section 531.102(y), Government Code</w:t>
            </w:r>
            <w:r>
              <w:t xml:space="preserve">. </w:t>
            </w:r>
          </w:p>
          <w:p w14:paraId="2DF4EC0F" w14:textId="77777777" w:rsidR="008423E4" w:rsidRPr="00835628" w:rsidRDefault="008423E4" w:rsidP="00A25C1E">
            <w:pPr>
              <w:rPr>
                <w:b/>
              </w:rPr>
            </w:pPr>
          </w:p>
        </w:tc>
      </w:tr>
      <w:tr w:rsidR="00A60D9D" w14:paraId="6FE6B130" w14:textId="77777777" w:rsidTr="00345119">
        <w:tc>
          <w:tcPr>
            <w:tcW w:w="9576" w:type="dxa"/>
          </w:tcPr>
          <w:p w14:paraId="28439006" w14:textId="77777777" w:rsidR="008423E4" w:rsidRPr="00A8133F" w:rsidRDefault="00BD268A" w:rsidP="00A25C1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2F8F771" w14:textId="77777777" w:rsidR="008423E4" w:rsidRDefault="008423E4" w:rsidP="00A25C1E"/>
          <w:p w14:paraId="64398BE8" w14:textId="14A84EFA" w:rsidR="008423E4" w:rsidRPr="003624F2" w:rsidRDefault="00BD268A" w:rsidP="00A25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</w:t>
            </w:r>
            <w:r>
              <w:t>the necessary vote, September 1, 2021.</w:t>
            </w:r>
          </w:p>
          <w:p w14:paraId="0EB925AA" w14:textId="77777777" w:rsidR="008423E4" w:rsidRPr="00233FDB" w:rsidRDefault="008423E4" w:rsidP="00A25C1E">
            <w:pPr>
              <w:rPr>
                <w:b/>
              </w:rPr>
            </w:pPr>
          </w:p>
        </w:tc>
      </w:tr>
    </w:tbl>
    <w:p w14:paraId="002874C1" w14:textId="77777777" w:rsidR="008423E4" w:rsidRPr="00BE0E75" w:rsidRDefault="008423E4" w:rsidP="00A25C1E">
      <w:pPr>
        <w:jc w:val="both"/>
        <w:rPr>
          <w:rFonts w:ascii="Arial" w:hAnsi="Arial"/>
          <w:sz w:val="16"/>
          <w:szCs w:val="16"/>
        </w:rPr>
      </w:pPr>
    </w:p>
    <w:p w14:paraId="2B13BC66" w14:textId="77777777" w:rsidR="004108C3" w:rsidRPr="008423E4" w:rsidRDefault="004108C3" w:rsidP="00A25C1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11E8B" w14:textId="77777777" w:rsidR="00000000" w:rsidRDefault="00BD268A">
      <w:r>
        <w:separator/>
      </w:r>
    </w:p>
  </w:endnote>
  <w:endnote w:type="continuationSeparator" w:id="0">
    <w:p w14:paraId="678F4ADD" w14:textId="77777777" w:rsidR="00000000" w:rsidRDefault="00BD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F8719" w14:textId="77777777" w:rsidR="00C23EFA" w:rsidRDefault="00C23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60D9D" w14:paraId="5B8E9B5D" w14:textId="77777777" w:rsidTr="009C1E9A">
      <w:trPr>
        <w:cantSplit/>
      </w:trPr>
      <w:tc>
        <w:tcPr>
          <w:tcW w:w="0" w:type="pct"/>
        </w:tcPr>
        <w:p w14:paraId="322D852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7598C0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15D82C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B6E891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A8D58A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60D9D" w14:paraId="39A0E1BB" w14:textId="77777777" w:rsidTr="009C1E9A">
      <w:trPr>
        <w:cantSplit/>
      </w:trPr>
      <w:tc>
        <w:tcPr>
          <w:tcW w:w="0" w:type="pct"/>
        </w:tcPr>
        <w:p w14:paraId="08EB2E6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160FE2A" w14:textId="3752D18C" w:rsidR="00EC379B" w:rsidRPr="009C1E9A" w:rsidRDefault="00BD268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23730</w:t>
          </w:r>
        </w:p>
      </w:tc>
      <w:tc>
        <w:tcPr>
          <w:tcW w:w="2453" w:type="pct"/>
        </w:tcPr>
        <w:p w14:paraId="410360AF" w14:textId="5521E03D" w:rsidR="00EC379B" w:rsidRDefault="00BD26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07C8C">
            <w:t>21.125.2329</w:t>
          </w:r>
          <w:r>
            <w:fldChar w:fldCharType="end"/>
          </w:r>
        </w:p>
      </w:tc>
    </w:tr>
    <w:tr w:rsidR="00A60D9D" w14:paraId="762EC1FA" w14:textId="77777777" w:rsidTr="009C1E9A">
      <w:trPr>
        <w:cantSplit/>
      </w:trPr>
      <w:tc>
        <w:tcPr>
          <w:tcW w:w="0" w:type="pct"/>
        </w:tcPr>
        <w:p w14:paraId="6C0099B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E154EE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280DCE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4A7031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60D9D" w14:paraId="48E56C0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AD4833C" w14:textId="1AAA4067" w:rsidR="00EC379B" w:rsidRDefault="00BD268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D2A9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45BB98E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46DEC1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87EDC" w14:textId="77777777" w:rsidR="00C23EFA" w:rsidRDefault="00C23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389BE" w14:textId="77777777" w:rsidR="00000000" w:rsidRDefault="00BD268A">
      <w:r>
        <w:separator/>
      </w:r>
    </w:p>
  </w:footnote>
  <w:footnote w:type="continuationSeparator" w:id="0">
    <w:p w14:paraId="30CCAA37" w14:textId="77777777" w:rsidR="00000000" w:rsidRDefault="00BD2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D2A7B" w14:textId="77777777" w:rsidR="00C23EFA" w:rsidRDefault="00C23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4AE2D" w14:textId="77777777" w:rsidR="00C23EFA" w:rsidRDefault="00C23E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7D846" w14:textId="77777777" w:rsidR="00C23EFA" w:rsidRDefault="00C23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8C4"/>
    <w:multiLevelType w:val="hybridMultilevel"/>
    <w:tmpl w:val="CF8499A0"/>
    <w:lvl w:ilvl="0" w:tplc="35124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46B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FE1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C28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E7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2CA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632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EE7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A03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15283"/>
    <w:multiLevelType w:val="hybridMultilevel"/>
    <w:tmpl w:val="4C7C859C"/>
    <w:lvl w:ilvl="0" w:tplc="5DB69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ED3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04E1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8A1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EE3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404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C57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67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469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3CAC"/>
    <w:multiLevelType w:val="hybridMultilevel"/>
    <w:tmpl w:val="8918E73C"/>
    <w:lvl w:ilvl="0" w:tplc="80A49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86D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90F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43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0DF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181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EDE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08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45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D5D02"/>
    <w:multiLevelType w:val="hybridMultilevel"/>
    <w:tmpl w:val="B4607240"/>
    <w:lvl w:ilvl="0" w:tplc="EDCE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D8B085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F04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247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2C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400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CE5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C9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E5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F508F"/>
    <w:multiLevelType w:val="hybridMultilevel"/>
    <w:tmpl w:val="9546041E"/>
    <w:lvl w:ilvl="0" w:tplc="E02ED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FE7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C015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63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8CF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FC28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E6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AA7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66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E0DAA"/>
    <w:multiLevelType w:val="hybridMultilevel"/>
    <w:tmpl w:val="C6FAFB4A"/>
    <w:lvl w:ilvl="0" w:tplc="40323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30B8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ACC6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CAA8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8E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722E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8F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47B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6411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64B61"/>
    <w:multiLevelType w:val="hybridMultilevel"/>
    <w:tmpl w:val="F762053E"/>
    <w:lvl w:ilvl="0" w:tplc="EA929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1898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586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D0B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2E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EC3D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C13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44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9A94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11BCF"/>
    <w:multiLevelType w:val="hybridMultilevel"/>
    <w:tmpl w:val="FD963228"/>
    <w:lvl w:ilvl="0" w:tplc="579EB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46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ECB0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C3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E32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281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0A3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80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68F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02FDA"/>
    <w:multiLevelType w:val="hybridMultilevel"/>
    <w:tmpl w:val="FC0ACA3E"/>
    <w:lvl w:ilvl="0" w:tplc="91C47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84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B04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8C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0E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AA44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A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E01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5CFE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075FC"/>
    <w:multiLevelType w:val="hybridMultilevel"/>
    <w:tmpl w:val="4EA0D372"/>
    <w:lvl w:ilvl="0" w:tplc="98428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E55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BAD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A40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CA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984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E4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AF3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8A56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72"/>
    <w:rsid w:val="00000A70"/>
    <w:rsid w:val="000032B8"/>
    <w:rsid w:val="00003B06"/>
    <w:rsid w:val="00005248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47FB"/>
    <w:rsid w:val="0004512B"/>
    <w:rsid w:val="000463F0"/>
    <w:rsid w:val="00046BDA"/>
    <w:rsid w:val="0004762E"/>
    <w:rsid w:val="00052F5C"/>
    <w:rsid w:val="000532BD"/>
    <w:rsid w:val="00055C12"/>
    <w:rsid w:val="000608B0"/>
    <w:rsid w:val="0006104C"/>
    <w:rsid w:val="00064BF2"/>
    <w:rsid w:val="000667BA"/>
    <w:rsid w:val="000676A7"/>
    <w:rsid w:val="00072843"/>
    <w:rsid w:val="00073914"/>
    <w:rsid w:val="00074236"/>
    <w:rsid w:val="000746BD"/>
    <w:rsid w:val="00076D7D"/>
    <w:rsid w:val="00080D95"/>
    <w:rsid w:val="00084273"/>
    <w:rsid w:val="00090E6B"/>
    <w:rsid w:val="00091B2C"/>
    <w:rsid w:val="00092ABC"/>
    <w:rsid w:val="00096AF6"/>
    <w:rsid w:val="00097AAF"/>
    <w:rsid w:val="00097D13"/>
    <w:rsid w:val="000A4893"/>
    <w:rsid w:val="000A54E0"/>
    <w:rsid w:val="000A72C4"/>
    <w:rsid w:val="000B1486"/>
    <w:rsid w:val="000B333E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5C04"/>
    <w:rsid w:val="000D769C"/>
    <w:rsid w:val="000E1976"/>
    <w:rsid w:val="000E20F1"/>
    <w:rsid w:val="000E5B20"/>
    <w:rsid w:val="000E7C14"/>
    <w:rsid w:val="000E7E5E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6947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6D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608"/>
    <w:rsid w:val="001A2BDD"/>
    <w:rsid w:val="001A3DDF"/>
    <w:rsid w:val="001A4310"/>
    <w:rsid w:val="001A7CE7"/>
    <w:rsid w:val="001B053A"/>
    <w:rsid w:val="001B26D8"/>
    <w:rsid w:val="001B3BFA"/>
    <w:rsid w:val="001B4979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7BDC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4E0"/>
    <w:rsid w:val="0021751D"/>
    <w:rsid w:val="00217C49"/>
    <w:rsid w:val="00221324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251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3D3D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2B8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7404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4464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A7E11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2B9A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045B"/>
    <w:rsid w:val="006249CB"/>
    <w:rsid w:val="00625E87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5870"/>
    <w:rsid w:val="0067036E"/>
    <w:rsid w:val="00671693"/>
    <w:rsid w:val="006757AA"/>
    <w:rsid w:val="0068012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0BC2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0D8"/>
    <w:rsid w:val="006C4709"/>
    <w:rsid w:val="006D3005"/>
    <w:rsid w:val="006D504F"/>
    <w:rsid w:val="006D56A1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2ACA"/>
    <w:rsid w:val="00743C4C"/>
    <w:rsid w:val="007445B7"/>
    <w:rsid w:val="00744920"/>
    <w:rsid w:val="007509BE"/>
    <w:rsid w:val="007520BB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472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35AA"/>
    <w:rsid w:val="00805402"/>
    <w:rsid w:val="0080765F"/>
    <w:rsid w:val="00812BE3"/>
    <w:rsid w:val="00814516"/>
    <w:rsid w:val="00815C9D"/>
    <w:rsid w:val="008170E2"/>
    <w:rsid w:val="008210CA"/>
    <w:rsid w:val="008213FC"/>
    <w:rsid w:val="00823E4C"/>
    <w:rsid w:val="00827749"/>
    <w:rsid w:val="00827B7E"/>
    <w:rsid w:val="00830EEB"/>
    <w:rsid w:val="0083113C"/>
    <w:rsid w:val="00831677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1CAC"/>
    <w:rsid w:val="0086231A"/>
    <w:rsid w:val="0086477C"/>
    <w:rsid w:val="00864BAD"/>
    <w:rsid w:val="00864CB1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1067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41B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8D8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6F02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2D26"/>
    <w:rsid w:val="009A39F5"/>
    <w:rsid w:val="009A4588"/>
    <w:rsid w:val="009A5EA5"/>
    <w:rsid w:val="009A7533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2A94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288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5C1E"/>
    <w:rsid w:val="00A26A8A"/>
    <w:rsid w:val="00A27255"/>
    <w:rsid w:val="00A32304"/>
    <w:rsid w:val="00A32C8A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0D9D"/>
    <w:rsid w:val="00A61C27"/>
    <w:rsid w:val="00A6344D"/>
    <w:rsid w:val="00A644B8"/>
    <w:rsid w:val="00A64553"/>
    <w:rsid w:val="00A70E35"/>
    <w:rsid w:val="00A720DC"/>
    <w:rsid w:val="00A803CF"/>
    <w:rsid w:val="00A8133F"/>
    <w:rsid w:val="00A82CB4"/>
    <w:rsid w:val="00A836E5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8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034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63E6"/>
    <w:rsid w:val="00AF7C74"/>
    <w:rsid w:val="00B000AF"/>
    <w:rsid w:val="00B03406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3ECC"/>
    <w:rsid w:val="00B564BF"/>
    <w:rsid w:val="00B6104E"/>
    <w:rsid w:val="00B610C7"/>
    <w:rsid w:val="00B62106"/>
    <w:rsid w:val="00B626A8"/>
    <w:rsid w:val="00B65695"/>
    <w:rsid w:val="00B65C8E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268A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530A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7C8C"/>
    <w:rsid w:val="00C119AC"/>
    <w:rsid w:val="00C14EE6"/>
    <w:rsid w:val="00C151DA"/>
    <w:rsid w:val="00C152A1"/>
    <w:rsid w:val="00C16CCB"/>
    <w:rsid w:val="00C2142B"/>
    <w:rsid w:val="00C22987"/>
    <w:rsid w:val="00C23956"/>
    <w:rsid w:val="00C23EFA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1ECB"/>
    <w:rsid w:val="00C42B41"/>
    <w:rsid w:val="00C46166"/>
    <w:rsid w:val="00C4710D"/>
    <w:rsid w:val="00C50CAD"/>
    <w:rsid w:val="00C523BE"/>
    <w:rsid w:val="00C529E7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6EA5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2349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1A6E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13A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EE5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5563"/>
    <w:rsid w:val="00E26B13"/>
    <w:rsid w:val="00E27E5A"/>
    <w:rsid w:val="00E31135"/>
    <w:rsid w:val="00E317BA"/>
    <w:rsid w:val="00E3469B"/>
    <w:rsid w:val="00E3679D"/>
    <w:rsid w:val="00E3737A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4837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64F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6998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7729"/>
    <w:rsid w:val="00FB16CD"/>
    <w:rsid w:val="00FB73AE"/>
    <w:rsid w:val="00FC5388"/>
    <w:rsid w:val="00FC726C"/>
    <w:rsid w:val="00FD1B4B"/>
    <w:rsid w:val="00FD1B94"/>
    <w:rsid w:val="00FD6877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BFD2FF-2002-474A-92D5-0EC38E5F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044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4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44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441B"/>
    <w:rPr>
      <w:b/>
      <w:bCs/>
    </w:rPr>
  </w:style>
  <w:style w:type="paragraph" w:styleId="Revision">
    <w:name w:val="Revision"/>
    <w:hidden/>
    <w:uiPriority w:val="99"/>
    <w:semiHidden/>
    <w:rsid w:val="00D81A6E"/>
    <w:rPr>
      <w:sz w:val="24"/>
      <w:szCs w:val="24"/>
    </w:rPr>
  </w:style>
  <w:style w:type="character" w:styleId="Hyperlink">
    <w:name w:val="Hyperlink"/>
    <w:basedOn w:val="DefaultParagraphFont"/>
    <w:unhideWhenUsed/>
    <w:rsid w:val="002B3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823</Words>
  <Characters>4637</Characters>
  <Application>Microsoft Office Word</Application>
  <DocSecurity>4</DocSecurity>
  <Lines>124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SB00713 (Committee Report (Unamended))</vt:lpstr>
    </vt:vector>
  </TitlesOfParts>
  <Company>State of Texas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23730</dc:subject>
  <dc:creator>State of Texas</dc:creator>
  <dc:description>SB 713 by Buckingham-(H)State Affairs</dc:description>
  <cp:lastModifiedBy>Stacey Nicchio</cp:lastModifiedBy>
  <cp:revision>2</cp:revision>
  <cp:lastPrinted>2003-11-26T17:21:00Z</cp:lastPrinted>
  <dcterms:created xsi:type="dcterms:W3CDTF">2021-05-06T20:52:00Z</dcterms:created>
  <dcterms:modified xsi:type="dcterms:W3CDTF">2021-05-06T20:52:00Z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21.125.2329</vt:lpwstr>
  </property>
</Properties>
</file>