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B4121" w14:paraId="2795ED9A" w14:textId="77777777" w:rsidTr="00345119">
        <w:tc>
          <w:tcPr>
            <w:tcW w:w="9576" w:type="dxa"/>
            <w:noWrap/>
          </w:tcPr>
          <w:p w14:paraId="61B2E8B2" w14:textId="77777777" w:rsidR="008423E4" w:rsidRPr="0022177D" w:rsidRDefault="00FC1515" w:rsidP="0061009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DC8F254" w14:textId="77777777" w:rsidR="008423E4" w:rsidRPr="0022177D" w:rsidRDefault="008423E4" w:rsidP="00610096">
      <w:pPr>
        <w:jc w:val="center"/>
      </w:pPr>
    </w:p>
    <w:p w14:paraId="610561FF" w14:textId="77777777" w:rsidR="008423E4" w:rsidRPr="00B31F0E" w:rsidRDefault="008423E4" w:rsidP="00610096"/>
    <w:p w14:paraId="268D598B" w14:textId="77777777" w:rsidR="008423E4" w:rsidRPr="00742794" w:rsidRDefault="008423E4" w:rsidP="0061009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B4121" w14:paraId="77480C0E" w14:textId="77777777" w:rsidTr="00345119">
        <w:tc>
          <w:tcPr>
            <w:tcW w:w="9576" w:type="dxa"/>
          </w:tcPr>
          <w:p w14:paraId="17B0DE2C" w14:textId="77777777" w:rsidR="008423E4" w:rsidRPr="00861995" w:rsidRDefault="00FC1515" w:rsidP="00610096">
            <w:pPr>
              <w:jc w:val="right"/>
            </w:pPr>
            <w:r>
              <w:t>S.B. 768</w:t>
            </w:r>
          </w:p>
        </w:tc>
      </w:tr>
      <w:tr w:rsidR="00BB4121" w14:paraId="7B4417C8" w14:textId="77777777" w:rsidTr="00345119">
        <w:tc>
          <w:tcPr>
            <w:tcW w:w="9576" w:type="dxa"/>
          </w:tcPr>
          <w:p w14:paraId="22037FA1" w14:textId="77777777" w:rsidR="008423E4" w:rsidRPr="00861995" w:rsidRDefault="00FC1515" w:rsidP="00610096">
            <w:pPr>
              <w:jc w:val="right"/>
            </w:pPr>
            <w:r>
              <w:t xml:space="preserve">By: </w:t>
            </w:r>
            <w:r w:rsidR="006B2C90">
              <w:t>Huffman</w:t>
            </w:r>
          </w:p>
        </w:tc>
      </w:tr>
      <w:tr w:rsidR="00BB4121" w14:paraId="0D47FBEC" w14:textId="77777777" w:rsidTr="00345119">
        <w:tc>
          <w:tcPr>
            <w:tcW w:w="9576" w:type="dxa"/>
          </w:tcPr>
          <w:p w14:paraId="7E513AC1" w14:textId="77777777" w:rsidR="008423E4" w:rsidRPr="00861995" w:rsidRDefault="00FC1515" w:rsidP="00610096">
            <w:pPr>
              <w:jc w:val="right"/>
            </w:pPr>
            <w:r>
              <w:t>Criminal Jurisprudence</w:t>
            </w:r>
          </w:p>
        </w:tc>
      </w:tr>
      <w:tr w:rsidR="00BB4121" w14:paraId="74C1AAD7" w14:textId="77777777" w:rsidTr="00345119">
        <w:tc>
          <w:tcPr>
            <w:tcW w:w="9576" w:type="dxa"/>
          </w:tcPr>
          <w:p w14:paraId="1D983F50" w14:textId="77777777" w:rsidR="008423E4" w:rsidRDefault="00FC1515" w:rsidP="00610096">
            <w:pPr>
              <w:jc w:val="right"/>
            </w:pPr>
            <w:r>
              <w:t>Committee Report (Unamended)</w:t>
            </w:r>
          </w:p>
        </w:tc>
      </w:tr>
    </w:tbl>
    <w:p w14:paraId="44C3DE96" w14:textId="77777777" w:rsidR="008423E4" w:rsidRDefault="008423E4" w:rsidP="00610096">
      <w:pPr>
        <w:tabs>
          <w:tab w:val="right" w:pos="9360"/>
        </w:tabs>
      </w:pPr>
    </w:p>
    <w:p w14:paraId="293EEA4C" w14:textId="77777777" w:rsidR="008423E4" w:rsidRDefault="008423E4" w:rsidP="00610096"/>
    <w:p w14:paraId="6DAF3C39" w14:textId="77777777" w:rsidR="008423E4" w:rsidRDefault="008423E4" w:rsidP="0061009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B4121" w14:paraId="0E554581" w14:textId="77777777" w:rsidTr="00345119">
        <w:tc>
          <w:tcPr>
            <w:tcW w:w="9576" w:type="dxa"/>
          </w:tcPr>
          <w:p w14:paraId="76A65602" w14:textId="77777777" w:rsidR="008423E4" w:rsidRPr="00A8133F" w:rsidRDefault="00FC1515" w:rsidP="0061009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63E7BF1" w14:textId="77777777" w:rsidR="008423E4" w:rsidRDefault="008423E4" w:rsidP="00610096"/>
          <w:p w14:paraId="43119A1E" w14:textId="6B984DCE" w:rsidR="008423E4" w:rsidRDefault="00FC1515" w:rsidP="006100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f</w:t>
            </w:r>
            <w:r w:rsidR="006B2C90">
              <w:t xml:space="preserve">entanyl, a drug that is </w:t>
            </w:r>
            <w:r>
              <w:t>exponentially</w:t>
            </w:r>
            <w:r w:rsidR="006B2C90">
              <w:t xml:space="preserve"> more potent than morphine, is responsible for a drastic increase in </w:t>
            </w:r>
            <w:r>
              <w:t xml:space="preserve">recent </w:t>
            </w:r>
            <w:r w:rsidR="006B2C90">
              <w:t>overdose deaths</w:t>
            </w:r>
            <w:r w:rsidR="00616BA6">
              <w:t>,</w:t>
            </w:r>
            <w:r>
              <w:t xml:space="preserve"> given that t</w:t>
            </w:r>
            <w:r w:rsidR="006B2C90">
              <w:t>he drug is often combined with cocaine and heroin without the knowledge of the user.</w:t>
            </w:r>
            <w:r>
              <w:t xml:space="preserve"> </w:t>
            </w:r>
            <w:r w:rsidR="006B2C90">
              <w:t>According to the U</w:t>
            </w:r>
            <w:r>
              <w:t>.</w:t>
            </w:r>
            <w:r w:rsidR="006B2C90">
              <w:t>S</w:t>
            </w:r>
            <w:r>
              <w:t>.</w:t>
            </w:r>
            <w:r w:rsidR="006B2C90">
              <w:t xml:space="preserve"> </w:t>
            </w:r>
            <w:r>
              <w:t xml:space="preserve">Office of the </w:t>
            </w:r>
            <w:r w:rsidR="006B2C90">
              <w:t xml:space="preserve">Attorney General, fentanyl overdoses </w:t>
            </w:r>
            <w:r w:rsidR="00616BA6">
              <w:t>have accounted</w:t>
            </w:r>
            <w:r w:rsidR="006B2C90">
              <w:t xml:space="preserve"> for </w:t>
            </w:r>
            <w:r w:rsidR="00616BA6">
              <w:t xml:space="preserve">more recent American </w:t>
            </w:r>
            <w:r w:rsidR="006B2C90">
              <w:t xml:space="preserve">drug deaths than any other drug. As a result, the </w:t>
            </w:r>
            <w:r>
              <w:t xml:space="preserve">U.S. </w:t>
            </w:r>
            <w:r w:rsidR="006B2C90">
              <w:t xml:space="preserve">Department of Justice stepped up its prosecutions of fentanyl-related crimes over 300 percent in 2017. </w:t>
            </w:r>
            <w:r>
              <w:t xml:space="preserve">There have been calls in Texas to ensure that the manufacture or delivery of fentanyl is </w:t>
            </w:r>
            <w:r w:rsidR="00616BA6">
              <w:t>adequately</w:t>
            </w:r>
            <w:r>
              <w:t xml:space="preserve"> addressed in the Tex</w:t>
            </w:r>
            <w:r>
              <w:t xml:space="preserve">as Controlled Substances Act. </w:t>
            </w:r>
            <w:r w:rsidR="006B2C90">
              <w:t xml:space="preserve">S.B. 768 seeks to </w:t>
            </w:r>
            <w:r w:rsidR="00B66980" w:rsidRPr="00B66980">
              <w:t>deter the manufactur</w:t>
            </w:r>
            <w:r w:rsidR="00433F8D">
              <w:t>e</w:t>
            </w:r>
            <w:r w:rsidR="00B66980" w:rsidRPr="00B66980">
              <w:t xml:space="preserve"> and distribution of fentanyl in Texas </w:t>
            </w:r>
            <w:r>
              <w:t>by creatin</w:t>
            </w:r>
            <w:r w:rsidR="00B66980">
              <w:t xml:space="preserve">g </w:t>
            </w:r>
            <w:r w:rsidR="006B2C90">
              <w:t>a more stringent punishment system that is appropriately weighted for the drug's lethalness.</w:t>
            </w:r>
          </w:p>
          <w:p w14:paraId="155238AF" w14:textId="77777777" w:rsidR="008423E4" w:rsidRPr="00E26B13" w:rsidRDefault="008423E4" w:rsidP="00610096">
            <w:pPr>
              <w:rPr>
                <w:b/>
              </w:rPr>
            </w:pPr>
          </w:p>
        </w:tc>
      </w:tr>
      <w:tr w:rsidR="00BB4121" w14:paraId="1D84695F" w14:textId="77777777" w:rsidTr="00345119">
        <w:tc>
          <w:tcPr>
            <w:tcW w:w="9576" w:type="dxa"/>
          </w:tcPr>
          <w:p w14:paraId="7858149E" w14:textId="77777777" w:rsidR="0017725B" w:rsidRDefault="00FC1515" w:rsidP="006100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61BD86C" w14:textId="77777777" w:rsidR="0017725B" w:rsidRDefault="0017725B" w:rsidP="00610096">
            <w:pPr>
              <w:rPr>
                <w:b/>
                <w:u w:val="single"/>
              </w:rPr>
            </w:pPr>
          </w:p>
          <w:p w14:paraId="554A9E25" w14:textId="77777777" w:rsidR="00297CE2" w:rsidRPr="00297CE2" w:rsidRDefault="00FC1515" w:rsidP="00610096">
            <w:pPr>
              <w:jc w:val="both"/>
            </w:pPr>
            <w:r>
              <w:t xml:space="preserve">It is the </w:t>
            </w:r>
            <w:r>
              <w:t>committee's opinion that this bill expressly does one or more of the following: creates a criminal offense, increases the punishment for an existing criminal offense or category of offenses, or changes the eligibility of a person for community supervision,</w:t>
            </w:r>
            <w:r>
              <w:t xml:space="preserve"> parole, or mandatory supervision.</w:t>
            </w:r>
          </w:p>
          <w:p w14:paraId="2AA1D566" w14:textId="77777777" w:rsidR="0017725B" w:rsidRPr="0017725B" w:rsidRDefault="0017725B" w:rsidP="00610096">
            <w:pPr>
              <w:rPr>
                <w:b/>
                <w:u w:val="single"/>
              </w:rPr>
            </w:pPr>
          </w:p>
        </w:tc>
      </w:tr>
      <w:tr w:rsidR="00BB4121" w14:paraId="1D6A2106" w14:textId="77777777" w:rsidTr="00345119">
        <w:tc>
          <w:tcPr>
            <w:tcW w:w="9576" w:type="dxa"/>
          </w:tcPr>
          <w:p w14:paraId="7BCB27A4" w14:textId="77777777" w:rsidR="008423E4" w:rsidRPr="00A8133F" w:rsidRDefault="00FC1515" w:rsidP="0061009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BBCBF61" w14:textId="77777777" w:rsidR="008423E4" w:rsidRDefault="008423E4" w:rsidP="00610096"/>
          <w:p w14:paraId="5306CF5E" w14:textId="77777777" w:rsidR="00297CE2" w:rsidRDefault="00FC1515" w:rsidP="006100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74E2EE7" w14:textId="77777777" w:rsidR="008423E4" w:rsidRPr="00E21FDC" w:rsidRDefault="008423E4" w:rsidP="00610096">
            <w:pPr>
              <w:rPr>
                <w:b/>
              </w:rPr>
            </w:pPr>
          </w:p>
        </w:tc>
      </w:tr>
      <w:tr w:rsidR="00BB4121" w14:paraId="73BF1BD2" w14:textId="77777777" w:rsidTr="00345119">
        <w:tc>
          <w:tcPr>
            <w:tcW w:w="9576" w:type="dxa"/>
          </w:tcPr>
          <w:p w14:paraId="0B819323" w14:textId="77777777" w:rsidR="008423E4" w:rsidRPr="00A8133F" w:rsidRDefault="00FC1515" w:rsidP="0061009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4F662C9" w14:textId="77777777" w:rsidR="008423E4" w:rsidRDefault="008423E4" w:rsidP="00610096"/>
          <w:p w14:paraId="7B386DEA" w14:textId="7EACA32F" w:rsidR="009C36CD" w:rsidRDefault="00FC1515" w:rsidP="006100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768 amends the Health and Safety Code to create </w:t>
            </w:r>
            <w:r w:rsidR="00A65A33">
              <w:t>P</w:t>
            </w:r>
            <w:r>
              <w:t xml:space="preserve">enalty </w:t>
            </w:r>
            <w:r w:rsidR="00A65A33">
              <w:t>G</w:t>
            </w:r>
            <w:r>
              <w:t xml:space="preserve">roup 1-B </w:t>
            </w:r>
            <w:r w:rsidR="00A65A33">
              <w:t>under</w:t>
            </w:r>
            <w:r>
              <w:t xml:space="preserve"> the Texas Controlled Substances Act </w:t>
            </w:r>
            <w:r w:rsidR="00A65A33">
              <w:t xml:space="preserve">and to transfer from Penalty Group 1 to Penalty Group 1-B </w:t>
            </w:r>
            <w:r>
              <w:t xml:space="preserve">fentanyl, alpha-methylfentanyl, and any other derivative of fentanyl. The bill </w:t>
            </w:r>
            <w:r w:rsidR="00E338EB">
              <w:t xml:space="preserve">creates </w:t>
            </w:r>
            <w:r w:rsidR="00316D94">
              <w:t xml:space="preserve">an </w:t>
            </w:r>
            <w:r w:rsidR="00E338EB">
              <w:t>offense for a person who knowingly manufactures, delivers, or possesses with intent to deliver fentanyl, alpha-methylfentanyl, or any other derivative of fentanyl</w:t>
            </w:r>
            <w:r w:rsidR="00433F8D">
              <w:t xml:space="preserve"> that carries</w:t>
            </w:r>
            <w:r w:rsidR="00E338EB">
              <w:t xml:space="preserve"> penalties ranging from a state jail felony to a term of imprisonment in the Texas Department of Criminal Justice (TDCJ) for life or for a term of not more than 99 years or less than 20 years, and a</w:t>
            </w:r>
            <w:r w:rsidR="002D04C0">
              <w:t xml:space="preserve"> maximum $500,000</w:t>
            </w:r>
            <w:r w:rsidR="00E338EB">
              <w:t xml:space="preserve"> fine, depending on the aggregate weight of the controlled substance.</w:t>
            </w:r>
          </w:p>
          <w:p w14:paraId="501E38FE" w14:textId="4294C4FB" w:rsidR="005F7CE1" w:rsidRDefault="005F7CE1" w:rsidP="006100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055AFD1" w14:textId="34DBA7C0" w:rsidR="005F7CE1" w:rsidRDefault="00FC1515" w:rsidP="006100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768 </w:t>
            </w:r>
            <w:r w:rsidRPr="005F7CE1">
              <w:t xml:space="preserve">extends to Penalty Group </w:t>
            </w:r>
            <w:r>
              <w:t>1</w:t>
            </w:r>
            <w:r w:rsidRPr="005F7CE1">
              <w:t>-B substanc</w:t>
            </w:r>
            <w:r w:rsidRPr="005F7CE1">
              <w:t>es the applicability of certain provisions under the act governing the following</w:t>
            </w:r>
            <w:r>
              <w:t>:</w:t>
            </w:r>
          </w:p>
          <w:p w14:paraId="69BF4E42" w14:textId="3CA41F26" w:rsidR="005F7CE1" w:rsidRDefault="00FC1515" w:rsidP="0061009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5F7CE1">
              <w:t>the classification of certain controlled substance</w:t>
            </w:r>
            <w:r>
              <w:t xml:space="preserve"> analogues;</w:t>
            </w:r>
          </w:p>
          <w:p w14:paraId="7F4BCF3D" w14:textId="5D3EB8E4" w:rsidR="00027A41" w:rsidRDefault="00FC1515" w:rsidP="0061009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027A41">
              <w:t xml:space="preserve">offenses </w:t>
            </w:r>
            <w:r>
              <w:t xml:space="preserve">for the possession of a substance in Penalty Group 1, for the delivery of a controlled substance </w:t>
            </w:r>
            <w:r w:rsidR="00916F30">
              <w:t xml:space="preserve">or marihuana </w:t>
            </w:r>
            <w:r>
              <w:t xml:space="preserve">to a child, and </w:t>
            </w:r>
            <w:r w:rsidRPr="00027A41">
              <w:t xml:space="preserve">for </w:t>
            </w:r>
            <w:r>
              <w:t>the possession or transport of certain chemicals with intent to manufacture a controlled substance;</w:t>
            </w:r>
            <w:r w:rsidR="00154BED">
              <w:t xml:space="preserve"> </w:t>
            </w:r>
            <w:r w:rsidR="005B7177">
              <w:t>and</w:t>
            </w:r>
          </w:p>
          <w:p w14:paraId="5F68D092" w14:textId="6C7A91B9" w:rsidR="00FE536C" w:rsidRDefault="00FC1515" w:rsidP="0061009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penalty enhancements for</w:t>
            </w:r>
            <w:r w:rsidR="00916F30">
              <w:t xml:space="preserve"> certain</w:t>
            </w:r>
            <w:r>
              <w:t xml:space="preserve"> offenses</w:t>
            </w:r>
            <w:r w:rsidR="005B7177">
              <w:t xml:space="preserve"> that are</w:t>
            </w:r>
            <w:r>
              <w:t xml:space="preserve"> </w:t>
            </w:r>
            <w:r w:rsidR="00916F30">
              <w:t>committed in certain</w:t>
            </w:r>
            <w:r w:rsidR="00154BED">
              <w:t xml:space="preserve"> </w:t>
            </w:r>
            <w:r>
              <w:t xml:space="preserve">drug-free zones, </w:t>
            </w:r>
            <w:r w:rsidR="00FC0273">
              <w:t xml:space="preserve">that involve </w:t>
            </w:r>
            <w:r w:rsidR="00154BED">
              <w:t>the use of</w:t>
            </w:r>
            <w:r>
              <w:t xml:space="preserve"> a child</w:t>
            </w:r>
            <w:r>
              <w:t xml:space="preserve"> in the commission of </w:t>
            </w:r>
            <w:r w:rsidR="00FC0273">
              <w:t>the</w:t>
            </w:r>
            <w:r>
              <w:t xml:space="preserve"> offense, </w:t>
            </w:r>
            <w:r w:rsidR="00FC0273">
              <w:t>or that involve</w:t>
            </w:r>
            <w:r w:rsidR="00154BED">
              <w:t xml:space="preserve"> the manufacture or delivery of a controlled substance causing death or serious bodily injury</w:t>
            </w:r>
            <w:r w:rsidR="005B7177">
              <w:t>.</w:t>
            </w:r>
          </w:p>
          <w:p w14:paraId="5A365B96" w14:textId="04FCC9CC" w:rsidR="00BC0B34" w:rsidRDefault="00FC1515" w:rsidP="006100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7726FE">
              <w:t>specifies that</w:t>
            </w:r>
            <w:r>
              <w:t xml:space="preserve"> certain manufacturing or delivery offenses under the act</w:t>
            </w:r>
            <w:r w:rsidR="007726FE">
              <w:t xml:space="preserve"> otherwise</w:t>
            </w:r>
            <w:r>
              <w:t xml:space="preserve"> </w:t>
            </w:r>
            <w:r w:rsidR="007726FE">
              <w:t xml:space="preserve">punishable as </w:t>
            </w:r>
            <w:r>
              <w:t>a thir</w:t>
            </w:r>
            <w:r>
              <w:t>d degree felony</w:t>
            </w:r>
            <w:r w:rsidR="00E7185A">
              <w:t xml:space="preserve"> are punishable as</w:t>
            </w:r>
            <w:r>
              <w:t xml:space="preserve"> a </w:t>
            </w:r>
            <w:r w:rsidR="00616BA6">
              <w:t>second</w:t>
            </w:r>
            <w:r>
              <w:t xml:space="preserve"> degree felony if </w:t>
            </w:r>
            <w:r w:rsidRPr="00154BED">
              <w:t>it is shown at the punishment phase of the trial of the offense</w:t>
            </w:r>
            <w:r>
              <w:t xml:space="preserve"> that the offense was committed in </w:t>
            </w:r>
            <w:r w:rsidR="00CF32CF">
              <w:t>a</w:t>
            </w:r>
            <w:r w:rsidR="007726FE">
              <w:t xml:space="preserve"> certain</w:t>
            </w:r>
            <w:r w:rsidR="003356FE">
              <w:t xml:space="preserve"> drug</w:t>
            </w:r>
            <w:r w:rsidR="00C817E9">
              <w:noBreakHyphen/>
            </w:r>
            <w:r w:rsidR="003356FE">
              <w:t xml:space="preserve">free zone. </w:t>
            </w:r>
            <w:r w:rsidR="00E7185A">
              <w:t xml:space="preserve">The bill includes an overdose of a controlled substance listed in Penalty Group 1-B in the scope of provisions governing </w:t>
            </w:r>
            <w:r w:rsidR="005B7177">
              <w:t>the mandatory reporting of a controlled substance overdose to the Department of State Health Services.</w:t>
            </w:r>
          </w:p>
          <w:p w14:paraId="726465CD" w14:textId="77777777" w:rsidR="003356FE" w:rsidRDefault="003356FE" w:rsidP="006100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0A26149" w14:textId="0DFA9E01" w:rsidR="006118A6" w:rsidRDefault="00FC1515" w:rsidP="006100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768 amends the Code of Criminal Procedure to </w:t>
            </w:r>
            <w:r w:rsidR="00C70844">
              <w:t xml:space="preserve">make </w:t>
            </w:r>
            <w:r>
              <w:t xml:space="preserve">a defendant adjudged guilty of the offense </w:t>
            </w:r>
            <w:r w:rsidR="00E7185A">
              <w:t>of</w:t>
            </w:r>
            <w:r w:rsidR="00C70844">
              <w:t xml:space="preserve"> </w:t>
            </w:r>
            <w:r>
              <w:t>ma</w:t>
            </w:r>
            <w:r>
              <w:t xml:space="preserve">nufacture or delivery of </w:t>
            </w:r>
            <w:r w:rsidR="00C70844">
              <w:t>a substance in Penalty Group 1-B in an amount</w:t>
            </w:r>
            <w:r w:rsidR="008236BC">
              <w:t xml:space="preserve"> that is</w:t>
            </w:r>
            <w:r w:rsidR="00C70844">
              <w:t xml:space="preserve"> four grams </w:t>
            </w:r>
            <w:r w:rsidR="00572D31">
              <w:t xml:space="preserve">or </w:t>
            </w:r>
            <w:r w:rsidR="00C70844">
              <w:t>greater</w:t>
            </w:r>
            <w:r w:rsidR="00572D31">
              <w:t xml:space="preserve"> ineligible for judge-ordered community supervision, jury-recommended community supervision, </w:t>
            </w:r>
            <w:r w:rsidR="008236BC">
              <w:t>or</w:t>
            </w:r>
            <w:r w:rsidR="00572D31">
              <w:t xml:space="preserve"> deferred adjudication community supervision</w:t>
            </w:r>
            <w:r>
              <w:t xml:space="preserve">. </w:t>
            </w:r>
          </w:p>
          <w:p w14:paraId="407AF214" w14:textId="77777777" w:rsidR="006118A6" w:rsidRDefault="006118A6" w:rsidP="006100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7A5CAD2" w14:textId="23980726" w:rsidR="003356FE" w:rsidRDefault="00FC1515" w:rsidP="006100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768 amen</w:t>
            </w:r>
            <w:r>
              <w:t xml:space="preserve">ds the Government Code to </w:t>
            </w:r>
            <w:r w:rsidR="00FE536C">
              <w:t xml:space="preserve">make ineligible for release to mandatory supervision an inmate who is serving a sentence for or has been previously convicted of </w:t>
            </w:r>
            <w:r w:rsidR="00FE536C" w:rsidRPr="00FE536C">
              <w:t>manufacture or delivery of a substance in Penalty Group 1-B in an amount</w:t>
            </w:r>
            <w:r w:rsidR="008236BC">
              <w:t xml:space="preserve"> that is</w:t>
            </w:r>
            <w:r w:rsidR="00FE536C" w:rsidRPr="00FE536C">
              <w:t xml:space="preserve"> four grams or greater</w:t>
            </w:r>
            <w:r>
              <w:t xml:space="preserve">. </w:t>
            </w:r>
          </w:p>
          <w:p w14:paraId="3E62C729" w14:textId="77777777" w:rsidR="006118A6" w:rsidRDefault="006118A6" w:rsidP="006100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E7F46CF" w14:textId="6E61BB53" w:rsidR="006118A6" w:rsidRDefault="00FC1515" w:rsidP="006100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768 amends the Penal Code to </w:t>
            </w:r>
            <w:r w:rsidR="00003814">
              <w:t xml:space="preserve">expand the conduct that constitutes </w:t>
            </w:r>
            <w:r w:rsidR="004B34B5">
              <w:t xml:space="preserve">the offense of </w:t>
            </w:r>
            <w:r w:rsidR="00003814">
              <w:t>directing the activities of</w:t>
            </w:r>
            <w:r w:rsidR="004B34B5">
              <w:t xml:space="preserve"> a</w:t>
            </w:r>
            <w:r w:rsidR="00003814">
              <w:t xml:space="preserve"> criminal street gang to include knowingly financ</w:t>
            </w:r>
            <w:r w:rsidR="004B34B5">
              <w:t>ing</w:t>
            </w:r>
            <w:r w:rsidR="00003814">
              <w:t>, direct</w:t>
            </w:r>
            <w:r w:rsidR="004B34B5">
              <w:t>ing</w:t>
            </w:r>
            <w:r w:rsidR="00003814">
              <w:t>, or supervis</w:t>
            </w:r>
            <w:r w:rsidR="004B34B5">
              <w:t>ing</w:t>
            </w:r>
            <w:r w:rsidR="00003814">
              <w:t xml:space="preserve"> the commission of, or a conspiracy to commit</w:t>
            </w:r>
            <w:r w:rsidR="00E317CA" w:rsidRPr="002324C3">
              <w:t>,</w:t>
            </w:r>
            <w:r w:rsidR="00BF1DB4">
              <w:t xml:space="preserve"> as part of the identifiable leadership of a criminal street gang,</w:t>
            </w:r>
            <w:r w:rsidR="00BF1DB4" w:rsidRPr="00E317CA">
              <w:t xml:space="preserve"> </w:t>
            </w:r>
            <w:r w:rsidR="00E317CA" w:rsidRPr="00E317CA">
              <w:t xml:space="preserve">the manufacture or delivery of a substance in Penalty Group 1-B in an amount </w:t>
            </w:r>
            <w:r w:rsidR="00BF1DB4">
              <w:t xml:space="preserve">that is </w:t>
            </w:r>
            <w:r w:rsidR="00E317CA" w:rsidRPr="00E317CA">
              <w:t>four grams or greater</w:t>
            </w:r>
            <w:r w:rsidR="00003814">
              <w:t xml:space="preserve">. </w:t>
            </w:r>
            <w:r w:rsidR="00E317CA">
              <w:t xml:space="preserve">The bill establishes that, for the purposes of </w:t>
            </w:r>
            <w:r w:rsidR="00616BA6">
              <w:t xml:space="preserve">the offense of </w:t>
            </w:r>
            <w:r w:rsidR="00E317CA">
              <w:t>endangering a child</w:t>
            </w:r>
            <w:r w:rsidR="000A46BE">
              <w:t xml:space="preserve"> younger than 15 years</w:t>
            </w:r>
            <w:r w:rsidR="00E317CA">
              <w:t xml:space="preserve">, it is presumed that </w:t>
            </w:r>
            <w:r w:rsidR="00E317CA" w:rsidRPr="00E317CA">
              <w:t xml:space="preserve">a person engaged in conduct that places </w:t>
            </w:r>
            <w:r w:rsidR="000A46BE">
              <w:t>the</w:t>
            </w:r>
            <w:r w:rsidR="00E317CA" w:rsidRPr="00E317CA">
              <w:t xml:space="preserve"> child in imminent danger of death, bodily injury, or physical or mental impairment if </w:t>
            </w:r>
            <w:r w:rsidR="00E317CA">
              <w:t>t</w:t>
            </w:r>
            <w:r w:rsidR="00E317CA" w:rsidRPr="00E317CA">
              <w:t>he person injected, ingested, inhaled, or otherwise introduced a controlled substance listed in Penalty Group 1</w:t>
            </w:r>
            <w:r w:rsidR="00E317CA">
              <w:t>-B into the human body when the person was not in lawful possession of the substance.</w:t>
            </w:r>
            <w:r w:rsidR="00E317CA" w:rsidRPr="00E317CA">
              <w:t xml:space="preserve"> </w:t>
            </w:r>
          </w:p>
          <w:p w14:paraId="3176FC77" w14:textId="0EC64206" w:rsidR="00FE536C" w:rsidRDefault="00FE536C" w:rsidP="006100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6DF8830" w14:textId="6BC79742" w:rsidR="00FE536C" w:rsidRDefault="00FC1515" w:rsidP="006100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768 amends the Occupations Code to make conforming change</w:t>
            </w:r>
            <w:r w:rsidR="008236BC">
              <w:t>s</w:t>
            </w:r>
            <w:r>
              <w:t>.</w:t>
            </w:r>
          </w:p>
          <w:p w14:paraId="75779478" w14:textId="4DF1E5EE" w:rsidR="003E5F5D" w:rsidRDefault="003E5F5D" w:rsidP="006100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40EC15D" w14:textId="09F398F6" w:rsidR="003E5F5D" w:rsidRPr="009C36CD" w:rsidRDefault="00FC1515" w:rsidP="006100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768 establishes that i</w:t>
            </w:r>
            <w:r w:rsidRPr="00003814">
              <w:t>mplementation of a provision of th</w:t>
            </w:r>
            <w:r>
              <w:t>e</w:t>
            </w:r>
            <w:r w:rsidRPr="00003814">
              <w:t xml:space="preserve"> bill by </w:t>
            </w:r>
            <w:r>
              <w:t>T</w:t>
            </w:r>
            <w:r>
              <w:t xml:space="preserve">DCJ </w:t>
            </w:r>
            <w:r w:rsidRPr="00003814">
              <w:t>is mandatory only if a specific appropriation is made for that purpose.</w:t>
            </w:r>
          </w:p>
          <w:p w14:paraId="23CC6804" w14:textId="77777777" w:rsidR="008423E4" w:rsidRPr="00835628" w:rsidRDefault="008423E4" w:rsidP="00610096">
            <w:pPr>
              <w:rPr>
                <w:b/>
              </w:rPr>
            </w:pPr>
          </w:p>
        </w:tc>
      </w:tr>
      <w:tr w:rsidR="00BB4121" w14:paraId="0BBDC938" w14:textId="77777777" w:rsidTr="00345119">
        <w:tc>
          <w:tcPr>
            <w:tcW w:w="9576" w:type="dxa"/>
          </w:tcPr>
          <w:p w14:paraId="059B343D" w14:textId="77777777" w:rsidR="008423E4" w:rsidRPr="00A8133F" w:rsidRDefault="00FC1515" w:rsidP="0061009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E2FBFD5" w14:textId="77777777" w:rsidR="008423E4" w:rsidRDefault="008423E4" w:rsidP="00610096"/>
          <w:p w14:paraId="78DF26A4" w14:textId="77777777" w:rsidR="008423E4" w:rsidRPr="003624F2" w:rsidRDefault="00FC1515" w:rsidP="006100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3DA60BC" w14:textId="77777777" w:rsidR="008423E4" w:rsidRPr="00233FDB" w:rsidRDefault="008423E4" w:rsidP="00610096">
            <w:pPr>
              <w:rPr>
                <w:b/>
              </w:rPr>
            </w:pPr>
          </w:p>
        </w:tc>
      </w:tr>
    </w:tbl>
    <w:p w14:paraId="0ADD104F" w14:textId="77777777" w:rsidR="008423E4" w:rsidRPr="00BE0E75" w:rsidRDefault="008423E4" w:rsidP="00610096">
      <w:pPr>
        <w:jc w:val="both"/>
        <w:rPr>
          <w:rFonts w:ascii="Arial" w:hAnsi="Arial"/>
          <w:sz w:val="16"/>
          <w:szCs w:val="16"/>
        </w:rPr>
      </w:pPr>
    </w:p>
    <w:p w14:paraId="5DC76B8F" w14:textId="77777777" w:rsidR="004108C3" w:rsidRPr="008423E4" w:rsidRDefault="004108C3" w:rsidP="0061009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0293B" w14:textId="77777777" w:rsidR="00000000" w:rsidRDefault="00FC1515">
      <w:r>
        <w:separator/>
      </w:r>
    </w:p>
  </w:endnote>
  <w:endnote w:type="continuationSeparator" w:id="0">
    <w:p w14:paraId="2A84A7B0" w14:textId="77777777" w:rsidR="00000000" w:rsidRDefault="00FC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F912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B4121" w14:paraId="0A9BEE00" w14:textId="77777777" w:rsidTr="009C1E9A">
      <w:trPr>
        <w:cantSplit/>
      </w:trPr>
      <w:tc>
        <w:tcPr>
          <w:tcW w:w="0" w:type="pct"/>
        </w:tcPr>
        <w:p w14:paraId="2445CD0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4D725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B988C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4C065C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40D3AF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4121" w14:paraId="6714F824" w14:textId="77777777" w:rsidTr="009C1E9A">
      <w:trPr>
        <w:cantSplit/>
      </w:trPr>
      <w:tc>
        <w:tcPr>
          <w:tcW w:w="0" w:type="pct"/>
        </w:tcPr>
        <w:p w14:paraId="1B06286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649C0CD" w14:textId="77777777" w:rsidR="00EC379B" w:rsidRPr="009C1E9A" w:rsidRDefault="00FC151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27604</w:t>
          </w:r>
        </w:p>
      </w:tc>
      <w:tc>
        <w:tcPr>
          <w:tcW w:w="2453" w:type="pct"/>
        </w:tcPr>
        <w:p w14:paraId="66766531" w14:textId="159EB649" w:rsidR="00EC379B" w:rsidRDefault="00FC15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E1112">
            <w:t>21.138.2015</w:t>
          </w:r>
          <w:r>
            <w:fldChar w:fldCharType="end"/>
          </w:r>
        </w:p>
      </w:tc>
    </w:tr>
    <w:tr w:rsidR="00BB4121" w14:paraId="7C3F38FA" w14:textId="77777777" w:rsidTr="009C1E9A">
      <w:trPr>
        <w:cantSplit/>
      </w:trPr>
      <w:tc>
        <w:tcPr>
          <w:tcW w:w="0" w:type="pct"/>
        </w:tcPr>
        <w:p w14:paraId="2A807A2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DDA4A4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A5FB2F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462C57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4121" w14:paraId="58914D8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079D698" w14:textId="2107C2D4" w:rsidR="00EC379B" w:rsidRDefault="00FC151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1009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D2A3DC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9589B5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1EAD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CDDD6" w14:textId="77777777" w:rsidR="00000000" w:rsidRDefault="00FC1515">
      <w:r>
        <w:separator/>
      </w:r>
    </w:p>
  </w:footnote>
  <w:footnote w:type="continuationSeparator" w:id="0">
    <w:p w14:paraId="161F775C" w14:textId="77777777" w:rsidR="00000000" w:rsidRDefault="00FC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71DE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7FB4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23EE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5696"/>
    <w:multiLevelType w:val="hybridMultilevel"/>
    <w:tmpl w:val="0FAEEF8E"/>
    <w:lvl w:ilvl="0" w:tplc="B51A4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9E0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C4A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A5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2B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8EBE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89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81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C240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90"/>
    <w:rsid w:val="00000A70"/>
    <w:rsid w:val="000032B8"/>
    <w:rsid w:val="00003814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A41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6BE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3A2B"/>
    <w:rsid w:val="000C49DA"/>
    <w:rsid w:val="000C4B3D"/>
    <w:rsid w:val="000C64F9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112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4BED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24C3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97CE2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4C0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6D94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56FE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72FD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5F5D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3F8D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AFE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34B5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4D9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2D31"/>
    <w:rsid w:val="00573401"/>
    <w:rsid w:val="00576714"/>
    <w:rsid w:val="0057685A"/>
    <w:rsid w:val="005847EF"/>
    <w:rsid w:val="005851E6"/>
    <w:rsid w:val="005878B7"/>
    <w:rsid w:val="00591306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7177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5F7CE1"/>
    <w:rsid w:val="00600BAA"/>
    <w:rsid w:val="006012DA"/>
    <w:rsid w:val="00603B0F"/>
    <w:rsid w:val="006049F5"/>
    <w:rsid w:val="00605F7B"/>
    <w:rsid w:val="00607E64"/>
    <w:rsid w:val="00610096"/>
    <w:rsid w:val="006106E9"/>
    <w:rsid w:val="0061159E"/>
    <w:rsid w:val="006118A6"/>
    <w:rsid w:val="00614633"/>
    <w:rsid w:val="00614BC8"/>
    <w:rsid w:val="006151FB"/>
    <w:rsid w:val="00616BA6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C90"/>
    <w:rsid w:val="006B2DEB"/>
    <w:rsid w:val="006B54C5"/>
    <w:rsid w:val="006B5E80"/>
    <w:rsid w:val="006B7A2E"/>
    <w:rsid w:val="006C208C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8BF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26F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6BC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6F30"/>
    <w:rsid w:val="00917E0C"/>
    <w:rsid w:val="00920711"/>
    <w:rsid w:val="00921A1E"/>
    <w:rsid w:val="0092352F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9F0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B796D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3CE2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A33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641F"/>
    <w:rsid w:val="00AA18AE"/>
    <w:rsid w:val="00AA1C66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56AF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6980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0113"/>
    <w:rsid w:val="00BB4121"/>
    <w:rsid w:val="00BB5B36"/>
    <w:rsid w:val="00BC027B"/>
    <w:rsid w:val="00BC0B34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1DB4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0844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17E9"/>
    <w:rsid w:val="00C82743"/>
    <w:rsid w:val="00C834CE"/>
    <w:rsid w:val="00C9047F"/>
    <w:rsid w:val="00C91F65"/>
    <w:rsid w:val="00C92310"/>
    <w:rsid w:val="00C95150"/>
    <w:rsid w:val="00C95A73"/>
    <w:rsid w:val="00C970E9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2CF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6DE9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17CA"/>
    <w:rsid w:val="00E338EB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185A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0273"/>
    <w:rsid w:val="00FC1515"/>
    <w:rsid w:val="00FC5388"/>
    <w:rsid w:val="00FC726C"/>
    <w:rsid w:val="00FD1B4B"/>
    <w:rsid w:val="00FD1B94"/>
    <w:rsid w:val="00FE19C5"/>
    <w:rsid w:val="00FE4286"/>
    <w:rsid w:val="00FE48C3"/>
    <w:rsid w:val="00FE536C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62D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ED2D0D-34A4-4B40-BB9C-030191C3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235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3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35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3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352F"/>
    <w:rPr>
      <w:b/>
      <w:bCs/>
    </w:rPr>
  </w:style>
  <w:style w:type="paragraph" w:styleId="Revision">
    <w:name w:val="Revision"/>
    <w:hidden/>
    <w:uiPriority w:val="99"/>
    <w:semiHidden/>
    <w:rsid w:val="00923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818</Words>
  <Characters>4335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SB00768 (Committee Report (Unamended))</vt:lpstr>
    </vt:vector>
  </TitlesOfParts>
  <Company>State of Texas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27604</dc:subject>
  <dc:creator>State of Texas</dc:creator>
  <dc:description>SB 768 by Huffman-(H)Criminal Jurisprudence</dc:description>
  <cp:lastModifiedBy>Thomas Weis</cp:lastModifiedBy>
  <cp:revision>2</cp:revision>
  <cp:lastPrinted>2003-11-26T17:21:00Z</cp:lastPrinted>
  <dcterms:created xsi:type="dcterms:W3CDTF">2021-05-19T22:40:00Z</dcterms:created>
  <dcterms:modified xsi:type="dcterms:W3CDTF">2021-05-19T22:40:00Z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21.138.2015</vt:lpwstr>
  </property>
</Properties>
</file>