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536C" w14:paraId="64A326E7" w14:textId="77777777" w:rsidTr="00345119">
        <w:tc>
          <w:tcPr>
            <w:tcW w:w="9576" w:type="dxa"/>
            <w:noWrap/>
          </w:tcPr>
          <w:p w14:paraId="16876E67" w14:textId="77777777" w:rsidR="008423E4" w:rsidRPr="0022177D" w:rsidRDefault="006F64AA" w:rsidP="00A0323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1862AD" w14:textId="77777777" w:rsidR="008423E4" w:rsidRPr="0022177D" w:rsidRDefault="008423E4" w:rsidP="00A03237">
      <w:pPr>
        <w:jc w:val="center"/>
      </w:pPr>
    </w:p>
    <w:p w14:paraId="5C8E833A" w14:textId="77777777" w:rsidR="008423E4" w:rsidRPr="00B31F0E" w:rsidRDefault="008423E4" w:rsidP="00A03237"/>
    <w:p w14:paraId="624D35FD" w14:textId="77777777" w:rsidR="008423E4" w:rsidRPr="00742794" w:rsidRDefault="008423E4" w:rsidP="00A0323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536C" w14:paraId="41FB0C83" w14:textId="77777777" w:rsidTr="00345119">
        <w:tc>
          <w:tcPr>
            <w:tcW w:w="9576" w:type="dxa"/>
          </w:tcPr>
          <w:p w14:paraId="471D16A8" w14:textId="7E7C1409" w:rsidR="008423E4" w:rsidRPr="00861995" w:rsidRDefault="006F64AA" w:rsidP="00A03237">
            <w:pPr>
              <w:jc w:val="right"/>
            </w:pPr>
            <w:r>
              <w:t>S.B. 810</w:t>
            </w:r>
          </w:p>
        </w:tc>
      </w:tr>
      <w:tr w:rsidR="00AA536C" w14:paraId="63F333CF" w14:textId="77777777" w:rsidTr="00345119">
        <w:tc>
          <w:tcPr>
            <w:tcW w:w="9576" w:type="dxa"/>
          </w:tcPr>
          <w:p w14:paraId="571BE37E" w14:textId="24E85E8B" w:rsidR="008423E4" w:rsidRPr="00861995" w:rsidRDefault="006F64AA" w:rsidP="00A85C86">
            <w:pPr>
              <w:jc w:val="right"/>
            </w:pPr>
            <w:r>
              <w:t xml:space="preserve">By: </w:t>
            </w:r>
            <w:r w:rsidR="00A85C86">
              <w:t>Kolkhorst</w:t>
            </w:r>
          </w:p>
        </w:tc>
      </w:tr>
      <w:tr w:rsidR="00AA536C" w14:paraId="14AED166" w14:textId="77777777" w:rsidTr="00345119">
        <w:tc>
          <w:tcPr>
            <w:tcW w:w="9576" w:type="dxa"/>
          </w:tcPr>
          <w:p w14:paraId="041780A4" w14:textId="00BD2B0A" w:rsidR="008423E4" w:rsidRPr="00861995" w:rsidRDefault="006F64AA" w:rsidP="00A03237">
            <w:pPr>
              <w:jc w:val="right"/>
            </w:pPr>
            <w:r>
              <w:t>Higher Education</w:t>
            </w:r>
          </w:p>
        </w:tc>
      </w:tr>
      <w:tr w:rsidR="00AA536C" w14:paraId="576B41C7" w14:textId="77777777" w:rsidTr="00345119">
        <w:tc>
          <w:tcPr>
            <w:tcW w:w="9576" w:type="dxa"/>
          </w:tcPr>
          <w:p w14:paraId="11A3E3EA" w14:textId="18519350" w:rsidR="008423E4" w:rsidRDefault="006F64AA" w:rsidP="00A03237">
            <w:pPr>
              <w:jc w:val="right"/>
            </w:pPr>
            <w:r>
              <w:t>Committee Report (Unamended)</w:t>
            </w:r>
          </w:p>
        </w:tc>
      </w:tr>
    </w:tbl>
    <w:p w14:paraId="48C74ADB" w14:textId="77777777" w:rsidR="008423E4" w:rsidRDefault="008423E4" w:rsidP="00A03237">
      <w:pPr>
        <w:tabs>
          <w:tab w:val="right" w:pos="9360"/>
        </w:tabs>
      </w:pPr>
    </w:p>
    <w:p w14:paraId="208F8C0D" w14:textId="77777777" w:rsidR="008423E4" w:rsidRDefault="008423E4" w:rsidP="00A03237"/>
    <w:p w14:paraId="3DFC960E" w14:textId="77777777" w:rsidR="008423E4" w:rsidRDefault="008423E4" w:rsidP="00A0323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536C" w14:paraId="1343346E" w14:textId="77777777" w:rsidTr="00345119">
        <w:tc>
          <w:tcPr>
            <w:tcW w:w="9576" w:type="dxa"/>
          </w:tcPr>
          <w:p w14:paraId="1E156DEE" w14:textId="77777777" w:rsidR="008423E4" w:rsidRPr="00A8133F" w:rsidRDefault="006F64AA" w:rsidP="00A032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270AF2" w14:textId="77777777" w:rsidR="008423E4" w:rsidRDefault="008423E4" w:rsidP="00A03237"/>
          <w:p w14:paraId="6057A72D" w14:textId="092C6246" w:rsidR="007F40E8" w:rsidRDefault="006F64AA" w:rsidP="00A03237">
            <w:pPr>
              <w:pStyle w:val="Header"/>
              <w:jc w:val="both"/>
            </w:pPr>
            <w:r>
              <w:t xml:space="preserve">Since </w:t>
            </w:r>
            <w:r w:rsidR="00686559">
              <w:t xml:space="preserve">2009, </w:t>
            </w:r>
            <w:r>
              <w:t>state law has</w:t>
            </w:r>
            <w:r w:rsidR="00686559">
              <w:t xml:space="preserve"> require</w:t>
            </w:r>
            <w:r>
              <w:t>d</w:t>
            </w:r>
            <w:r w:rsidR="00686559">
              <w:t xml:space="preserve"> </w:t>
            </w:r>
            <w:r w:rsidR="003C0B03">
              <w:t xml:space="preserve">public </w:t>
            </w:r>
            <w:r w:rsidR="00686559">
              <w:t>institution</w:t>
            </w:r>
            <w:r w:rsidR="00454EC9">
              <w:t>s</w:t>
            </w:r>
            <w:r w:rsidR="00686559">
              <w:t xml:space="preserve"> of higher education to make </w:t>
            </w:r>
            <w:r w:rsidR="002327E2">
              <w:t xml:space="preserve">undergraduate course syllabi and certain other </w:t>
            </w:r>
            <w:r w:rsidR="00686559">
              <w:t xml:space="preserve">course information available online to the public. </w:t>
            </w:r>
            <w:r w:rsidR="00CD3FED">
              <w:t xml:space="preserve">Access to this information can be beneficial to current and potential students looking to evaluate courses prior to enrollment. </w:t>
            </w:r>
            <w:r w:rsidR="00686559">
              <w:t xml:space="preserve">However, </w:t>
            </w:r>
            <w:r w:rsidR="00D0526C">
              <w:t xml:space="preserve">some </w:t>
            </w:r>
            <w:r w:rsidR="00686559">
              <w:t xml:space="preserve">institutions are not in compliance with </w:t>
            </w:r>
            <w:r>
              <w:t>the law</w:t>
            </w:r>
            <w:r w:rsidR="00686559">
              <w:t>. S</w:t>
            </w:r>
            <w:r>
              <w:t>.</w:t>
            </w:r>
            <w:r w:rsidR="00686559">
              <w:t>B</w:t>
            </w:r>
            <w:r>
              <w:t>.</w:t>
            </w:r>
            <w:r w:rsidR="00686559">
              <w:t xml:space="preserve"> 810 </w:t>
            </w:r>
            <w:r>
              <w:t>seeks</w:t>
            </w:r>
            <w:r>
              <w:t xml:space="preserve"> to ensure</w:t>
            </w:r>
            <w:r w:rsidR="00686559">
              <w:t xml:space="preserve"> accountability by requiring the </w:t>
            </w:r>
            <w:r>
              <w:t xml:space="preserve">Texas Higher Education Coordinating Board </w:t>
            </w:r>
            <w:r w:rsidR="00686559">
              <w:t xml:space="preserve">to post </w:t>
            </w:r>
            <w:r w:rsidR="00523573">
              <w:t>information</w:t>
            </w:r>
            <w:r w:rsidR="003747B2">
              <w:t xml:space="preserve"> showing which </w:t>
            </w:r>
            <w:r w:rsidR="00686559">
              <w:t xml:space="preserve">institutions </w:t>
            </w:r>
            <w:r>
              <w:t xml:space="preserve">are </w:t>
            </w:r>
            <w:r w:rsidR="00686559">
              <w:t xml:space="preserve">in compliance </w:t>
            </w:r>
            <w:r w:rsidR="003747B2">
              <w:t>and which are</w:t>
            </w:r>
            <w:r w:rsidR="008D270E">
              <w:t xml:space="preserve"> </w:t>
            </w:r>
            <w:r w:rsidR="00686559">
              <w:t>no</w:t>
            </w:r>
            <w:r w:rsidR="00523573">
              <w:t>t. The bill also seeks to</w:t>
            </w:r>
            <w:r w:rsidR="00686559">
              <w:t xml:space="preserve"> </w:t>
            </w:r>
            <w:r w:rsidR="005743A2">
              <w:t>improve the accessibility of the</w:t>
            </w:r>
            <w:r w:rsidR="00523573">
              <w:t xml:space="preserve"> </w:t>
            </w:r>
            <w:r>
              <w:t xml:space="preserve">course information </w:t>
            </w:r>
            <w:r w:rsidR="005743A2">
              <w:t xml:space="preserve">and </w:t>
            </w:r>
            <w:r w:rsidR="00D0526C">
              <w:t>to</w:t>
            </w:r>
            <w:r w:rsidR="00DC3D08">
              <w:t xml:space="preserve"> make information available for graduate courses as well. </w:t>
            </w:r>
          </w:p>
          <w:p w14:paraId="583C101E" w14:textId="77777777" w:rsidR="008423E4" w:rsidRPr="00E26B13" w:rsidRDefault="008423E4" w:rsidP="00A03237">
            <w:pPr>
              <w:pStyle w:val="Header"/>
              <w:jc w:val="both"/>
              <w:rPr>
                <w:b/>
              </w:rPr>
            </w:pPr>
          </w:p>
        </w:tc>
      </w:tr>
      <w:tr w:rsidR="00AA536C" w14:paraId="503A3D62" w14:textId="77777777" w:rsidTr="00345119">
        <w:tc>
          <w:tcPr>
            <w:tcW w:w="9576" w:type="dxa"/>
          </w:tcPr>
          <w:p w14:paraId="143F1829" w14:textId="77777777" w:rsidR="0017725B" w:rsidRDefault="006F64AA" w:rsidP="00A032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38E9936" w14:textId="77777777" w:rsidR="0017725B" w:rsidRDefault="0017725B" w:rsidP="00A03237">
            <w:pPr>
              <w:rPr>
                <w:b/>
                <w:u w:val="single"/>
              </w:rPr>
            </w:pPr>
          </w:p>
          <w:p w14:paraId="20988EED" w14:textId="77777777" w:rsidR="00686559" w:rsidRPr="00686559" w:rsidRDefault="006F64AA" w:rsidP="00A0323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14:paraId="17AFD991" w14:textId="77777777" w:rsidR="0017725B" w:rsidRPr="0017725B" w:rsidRDefault="0017725B" w:rsidP="00A03237">
            <w:pPr>
              <w:rPr>
                <w:b/>
                <w:u w:val="single"/>
              </w:rPr>
            </w:pPr>
          </w:p>
        </w:tc>
      </w:tr>
      <w:tr w:rsidR="00AA536C" w14:paraId="315CA451" w14:textId="77777777" w:rsidTr="00345119">
        <w:tc>
          <w:tcPr>
            <w:tcW w:w="9576" w:type="dxa"/>
          </w:tcPr>
          <w:p w14:paraId="6551AACC" w14:textId="77777777" w:rsidR="008423E4" w:rsidRPr="00A8133F" w:rsidRDefault="006F64AA" w:rsidP="00A032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1237EB" w14:textId="77777777" w:rsidR="008423E4" w:rsidRDefault="008423E4" w:rsidP="00A03237"/>
          <w:p w14:paraId="1AF7E3C0" w14:textId="77777777" w:rsidR="00434F50" w:rsidRDefault="006F64AA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Higher Education Coordinating Board in </w:t>
            </w:r>
            <w:r>
              <w:t>SECTION 1 of this bill.</w:t>
            </w:r>
          </w:p>
          <w:p w14:paraId="32E90B20" w14:textId="77777777" w:rsidR="008423E4" w:rsidRPr="00E21FDC" w:rsidRDefault="008423E4" w:rsidP="00A03237">
            <w:pPr>
              <w:rPr>
                <w:b/>
              </w:rPr>
            </w:pPr>
          </w:p>
        </w:tc>
      </w:tr>
      <w:tr w:rsidR="00AA536C" w14:paraId="5CFE49DC" w14:textId="77777777" w:rsidTr="00345119">
        <w:tc>
          <w:tcPr>
            <w:tcW w:w="9576" w:type="dxa"/>
          </w:tcPr>
          <w:p w14:paraId="4A187B29" w14:textId="77777777" w:rsidR="008423E4" w:rsidRPr="00A8133F" w:rsidRDefault="006F64AA" w:rsidP="00A032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39B587" w14:textId="77777777" w:rsidR="008423E4" w:rsidRDefault="008423E4" w:rsidP="00A03237"/>
          <w:p w14:paraId="48F5C985" w14:textId="5DC31F6D" w:rsidR="00434F50" w:rsidRDefault="006F64AA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810 amends the Education Code to </w:t>
            </w:r>
            <w:r w:rsidR="00881996">
              <w:t xml:space="preserve">revise the requirement for each </w:t>
            </w:r>
            <w:r w:rsidR="008D270E">
              <w:t xml:space="preserve">public </w:t>
            </w:r>
            <w:r w:rsidR="00881996">
              <w:t>institution of higher education</w:t>
            </w:r>
            <w:r w:rsidR="00EE46A9">
              <w:t>,</w:t>
            </w:r>
            <w:r w:rsidR="00881996">
              <w:t xml:space="preserve"> other than a medical and dental unit</w:t>
            </w:r>
            <w:r w:rsidR="00EE46A9">
              <w:t>,</w:t>
            </w:r>
            <w:r w:rsidR="00881996">
              <w:t xml:space="preserve"> to make</w:t>
            </w:r>
            <w:r w:rsidR="00B231CB">
              <w:t xml:space="preserve"> </w:t>
            </w:r>
            <w:r w:rsidR="00881996">
              <w:t>available to the public</w:t>
            </w:r>
            <w:r w:rsidR="008626BC">
              <w:t xml:space="preserve"> on the institution's website</w:t>
            </w:r>
            <w:r w:rsidR="00A47B9C">
              <w:t xml:space="preserve"> </w:t>
            </w:r>
            <w:r w:rsidR="00B231CB">
              <w:t>for each undergraduate classroom course offered for credit</w:t>
            </w:r>
            <w:r w:rsidR="00EE46A9">
              <w:t xml:space="preserve"> by the institution</w:t>
            </w:r>
            <w:r w:rsidR="00B231CB">
              <w:t xml:space="preserve"> a syllabus, instructor curriculum vitae, and</w:t>
            </w:r>
            <w:r w:rsidR="002A7E69">
              <w:t>, if available,</w:t>
            </w:r>
            <w:r w:rsidR="00B231CB">
              <w:t xml:space="preserve"> </w:t>
            </w:r>
            <w:r w:rsidR="002327E2">
              <w:t>a</w:t>
            </w:r>
            <w:r w:rsidR="00B231CB">
              <w:t xml:space="preserve"> </w:t>
            </w:r>
            <w:r w:rsidR="009D3873">
              <w:t xml:space="preserve">departmental </w:t>
            </w:r>
            <w:r w:rsidR="00B231CB">
              <w:t>budget repor</w:t>
            </w:r>
            <w:r w:rsidR="002A7E69">
              <w:t xml:space="preserve">t </w:t>
            </w:r>
            <w:r w:rsidR="00285DAF">
              <w:t>as follows</w:t>
            </w:r>
            <w:r w:rsidR="008626BC">
              <w:t xml:space="preserve">: </w:t>
            </w:r>
          </w:p>
          <w:p w14:paraId="0DA18CBC" w14:textId="3E0296C5" w:rsidR="00A204AE" w:rsidRDefault="006F64AA" w:rsidP="00A0323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</w:t>
            </w:r>
            <w:r w:rsidR="00B231CB">
              <w:t xml:space="preserve">extending the requirement to all </w:t>
            </w:r>
            <w:r w:rsidR="008626BC">
              <w:t>classroom course</w:t>
            </w:r>
            <w:r w:rsidR="00B231CB">
              <w:t>s</w:t>
            </w:r>
            <w:r w:rsidR="006C6E20">
              <w:t>, including graduate courses,</w:t>
            </w:r>
            <w:r w:rsidR="008626BC">
              <w:t xml:space="preserve"> </w:t>
            </w:r>
            <w:r>
              <w:t xml:space="preserve">offered for credit by </w:t>
            </w:r>
            <w:r w:rsidR="009D3873">
              <w:t>the</w:t>
            </w:r>
            <w:r w:rsidR="008626BC">
              <w:t xml:space="preserve"> institution</w:t>
            </w:r>
            <w:r>
              <w:t>;</w:t>
            </w:r>
          </w:p>
          <w:p w14:paraId="61E2DAA0" w14:textId="515D6889" w:rsidR="008626BC" w:rsidRDefault="006F64AA" w:rsidP="00A0323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</w:t>
            </w:r>
            <w:r w:rsidR="000F4131">
              <w:t>changing</w:t>
            </w:r>
            <w:r w:rsidR="009D3873">
              <w:t xml:space="preserve"> the requirement </w:t>
            </w:r>
            <w:r w:rsidR="00A204AE" w:rsidRPr="009D3873">
              <w:t>that the information be accessible</w:t>
            </w:r>
            <w:r w:rsidR="009D3873">
              <w:t xml:space="preserve"> from the institution's website home page</w:t>
            </w:r>
            <w:r w:rsidR="00A204AE" w:rsidRPr="009D3873">
              <w:t xml:space="preserve"> by use of not more than three links</w:t>
            </w:r>
            <w:r w:rsidR="00492B7C">
              <w:t xml:space="preserve"> </w:t>
            </w:r>
            <w:r w:rsidR="000F4131">
              <w:t>to</w:t>
            </w:r>
            <w:r w:rsidR="00492B7C">
              <w:t xml:space="preserve"> a requirement</w:t>
            </w:r>
            <w:r w:rsidR="002A7E69">
              <w:t xml:space="preserve"> that it be accessible from the</w:t>
            </w:r>
            <w:r w:rsidR="00492B7C">
              <w:t xml:space="preserve"> home page</w:t>
            </w:r>
            <w:r w:rsidR="00A204AE" w:rsidRPr="009D3873">
              <w:t>; and</w:t>
            </w:r>
          </w:p>
          <w:p w14:paraId="4D67D473" w14:textId="5CE0ECE2" w:rsidR="00A204AE" w:rsidRDefault="006F64AA" w:rsidP="00A0323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by </w:t>
            </w:r>
            <w:r w:rsidR="00B231CB">
              <w:t>requiring the information to</w:t>
            </w:r>
            <w:r>
              <w:t xml:space="preserve"> be clearly labeled as "public course and syllabus information." </w:t>
            </w:r>
          </w:p>
          <w:p w14:paraId="1840C61D" w14:textId="77777777" w:rsidR="00D77418" w:rsidRDefault="00D77418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AB0A53" w14:textId="30E3FFBE" w:rsidR="008E143D" w:rsidRDefault="006F64AA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810 </w:t>
            </w:r>
            <w:r w:rsidR="008D270E">
              <w:t xml:space="preserve">includes </w:t>
            </w:r>
            <w:r w:rsidR="003C0B03">
              <w:t xml:space="preserve">the Texas Higher Education Coordinating Board (THECB) among the recipients of the biennial report that </w:t>
            </w:r>
            <w:r w:rsidR="003C0B03" w:rsidRPr="00492B7C">
              <w:t>each</w:t>
            </w:r>
            <w:r w:rsidRPr="00492B7C">
              <w:t xml:space="preserve"> institution of higher education</w:t>
            </w:r>
            <w:r w:rsidRPr="008E143D">
              <w:t xml:space="preserve"> </w:t>
            </w:r>
            <w:r w:rsidR="003C0B03">
              <w:t xml:space="preserve">is required </w:t>
            </w:r>
            <w:r>
              <w:t>to</w:t>
            </w:r>
            <w:r>
              <w:t xml:space="preserve"> </w:t>
            </w:r>
            <w:r w:rsidRPr="008E143D">
              <w:t>submit regarding the institution's compliance</w:t>
            </w:r>
            <w:r>
              <w:t xml:space="preserve"> with </w:t>
            </w:r>
            <w:r w:rsidR="00A204AE">
              <w:t xml:space="preserve">the </w:t>
            </w:r>
            <w:r w:rsidRPr="00A47B9C">
              <w:t xml:space="preserve">course </w:t>
            </w:r>
            <w:r w:rsidR="00A47B9C">
              <w:t xml:space="preserve">information </w:t>
            </w:r>
            <w:r>
              <w:t xml:space="preserve">posting requirements. </w:t>
            </w:r>
            <w:r w:rsidR="003C0B03">
              <w:t>The bill</w:t>
            </w:r>
            <w:r>
              <w:t xml:space="preserve"> requires the THECB to </w:t>
            </w:r>
            <w:r w:rsidRPr="008E143D">
              <w:t xml:space="preserve">monitor each institution to determine whether the institution is in substantial compliance </w:t>
            </w:r>
            <w:r>
              <w:t xml:space="preserve">with those posting requirements </w:t>
            </w:r>
            <w:r w:rsidRPr="008E143D">
              <w:t xml:space="preserve">and </w:t>
            </w:r>
            <w:r w:rsidR="003C0B03">
              <w:t xml:space="preserve">to </w:t>
            </w:r>
            <w:r w:rsidRPr="008E143D">
              <w:t xml:space="preserve">make available to the public on the </w:t>
            </w:r>
            <w:r>
              <w:t xml:space="preserve">THECB </w:t>
            </w:r>
            <w:r w:rsidRPr="008E143D">
              <w:t>website</w:t>
            </w:r>
            <w:r w:rsidR="003C0B03">
              <w:t xml:space="preserve"> the following information</w:t>
            </w:r>
            <w:r>
              <w:t>:</w:t>
            </w:r>
          </w:p>
          <w:p w14:paraId="09B7CFAC" w14:textId="35D6D9C4" w:rsidR="008E143D" w:rsidRDefault="006F64AA" w:rsidP="00A0323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list indicating whether each institution is in substantial compliance; and</w:t>
            </w:r>
          </w:p>
          <w:p w14:paraId="6BA6B1D4" w14:textId="77777777" w:rsidR="008E143D" w:rsidRDefault="006F64AA" w:rsidP="00A0323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copy of each report submitted to the THECB.</w:t>
            </w:r>
          </w:p>
          <w:p w14:paraId="14B40989" w14:textId="366E3E3A" w:rsidR="00434F50" w:rsidRDefault="006F64AA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Implementation of </w:t>
            </w:r>
            <w:r w:rsidR="000F4131">
              <w:t>this</w:t>
            </w:r>
            <w:r w:rsidRPr="000F4131">
              <w:t xml:space="preserve"> requirement</w:t>
            </w:r>
            <w:r>
              <w:t xml:space="preserve"> by the THECB is mandatory only if a specific appropriation is made for that purpose. </w:t>
            </w:r>
            <w:r w:rsidR="008E143D">
              <w:t xml:space="preserve">The bill </w:t>
            </w:r>
            <w:r w:rsidR="002A7E69">
              <w:t xml:space="preserve">specifically grants </w:t>
            </w:r>
            <w:r w:rsidR="008E143D">
              <w:t xml:space="preserve">the THECB </w:t>
            </w:r>
            <w:r w:rsidR="002A7E69">
              <w:t xml:space="preserve">authority </w:t>
            </w:r>
            <w:r w:rsidR="008E143D">
              <w:t xml:space="preserve">to adopt rules to ensure substantial compliance with the posting requirements. </w:t>
            </w:r>
          </w:p>
          <w:p w14:paraId="59DE7647" w14:textId="77777777" w:rsidR="00434F50" w:rsidRDefault="00434F50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6C73C2" w14:textId="77777777" w:rsidR="009C36CD" w:rsidRPr="009C36CD" w:rsidRDefault="006F64AA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810 applies</w:t>
            </w:r>
            <w:r>
              <w:t xml:space="preserve"> beginning with the 2022 spring semester. </w:t>
            </w:r>
          </w:p>
          <w:p w14:paraId="49A1BDE1" w14:textId="77777777" w:rsidR="008423E4" w:rsidRPr="00835628" w:rsidRDefault="008423E4" w:rsidP="00A03237">
            <w:pPr>
              <w:rPr>
                <w:b/>
              </w:rPr>
            </w:pPr>
          </w:p>
        </w:tc>
      </w:tr>
      <w:tr w:rsidR="00AA536C" w14:paraId="3DD247F0" w14:textId="77777777" w:rsidTr="00345119">
        <w:tc>
          <w:tcPr>
            <w:tcW w:w="9576" w:type="dxa"/>
          </w:tcPr>
          <w:p w14:paraId="2264770F" w14:textId="77777777" w:rsidR="008423E4" w:rsidRPr="00A8133F" w:rsidRDefault="006F64AA" w:rsidP="00A032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3830C7" w14:textId="77777777" w:rsidR="008423E4" w:rsidRDefault="008423E4" w:rsidP="00A03237"/>
          <w:p w14:paraId="1DB3E9DC" w14:textId="77777777" w:rsidR="008423E4" w:rsidRPr="003624F2" w:rsidRDefault="006F64AA" w:rsidP="00A032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A1F4CCE" w14:textId="77777777" w:rsidR="008423E4" w:rsidRPr="00233FDB" w:rsidRDefault="008423E4" w:rsidP="00A03237">
            <w:pPr>
              <w:rPr>
                <w:b/>
              </w:rPr>
            </w:pPr>
          </w:p>
        </w:tc>
      </w:tr>
    </w:tbl>
    <w:p w14:paraId="471E9881" w14:textId="77777777" w:rsidR="008423E4" w:rsidRPr="00BE0E75" w:rsidRDefault="008423E4" w:rsidP="00A03237">
      <w:pPr>
        <w:jc w:val="both"/>
        <w:rPr>
          <w:rFonts w:ascii="Arial" w:hAnsi="Arial"/>
          <w:sz w:val="16"/>
          <w:szCs w:val="16"/>
        </w:rPr>
      </w:pPr>
    </w:p>
    <w:p w14:paraId="7BCD704A" w14:textId="77777777" w:rsidR="004108C3" w:rsidRPr="008423E4" w:rsidRDefault="004108C3" w:rsidP="00A0323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B757" w14:textId="77777777" w:rsidR="00000000" w:rsidRDefault="006F64AA">
      <w:r>
        <w:separator/>
      </w:r>
    </w:p>
  </w:endnote>
  <w:endnote w:type="continuationSeparator" w:id="0">
    <w:p w14:paraId="7E73AFBB" w14:textId="77777777" w:rsidR="00000000" w:rsidRDefault="006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9D4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536C" w14:paraId="7D67F676" w14:textId="77777777" w:rsidTr="009C1E9A">
      <w:trPr>
        <w:cantSplit/>
      </w:trPr>
      <w:tc>
        <w:tcPr>
          <w:tcW w:w="0" w:type="pct"/>
        </w:tcPr>
        <w:p w14:paraId="2056FC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2420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0039A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AF88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14FE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536C" w14:paraId="6AA36B38" w14:textId="77777777" w:rsidTr="009C1E9A">
      <w:trPr>
        <w:cantSplit/>
      </w:trPr>
      <w:tc>
        <w:tcPr>
          <w:tcW w:w="0" w:type="pct"/>
        </w:tcPr>
        <w:p w14:paraId="1866FF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597549" w14:textId="7345063C" w:rsidR="00EC379B" w:rsidRPr="009C1E9A" w:rsidRDefault="006F64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27868</w:t>
          </w:r>
        </w:p>
      </w:tc>
      <w:tc>
        <w:tcPr>
          <w:tcW w:w="2453" w:type="pct"/>
        </w:tcPr>
        <w:p w14:paraId="7CF553F9" w14:textId="62EABBD0" w:rsidR="00EC379B" w:rsidRDefault="006F64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C7E5E">
            <w:t>21.138.1588</w:t>
          </w:r>
          <w:r>
            <w:fldChar w:fldCharType="end"/>
          </w:r>
        </w:p>
      </w:tc>
    </w:tr>
    <w:tr w:rsidR="00AA536C" w14:paraId="74C14D82" w14:textId="77777777" w:rsidTr="009C1E9A">
      <w:trPr>
        <w:cantSplit/>
      </w:trPr>
      <w:tc>
        <w:tcPr>
          <w:tcW w:w="0" w:type="pct"/>
        </w:tcPr>
        <w:p w14:paraId="1A55359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F67B9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F0022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8EA7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536C" w14:paraId="0201A85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C770C2" w14:textId="6BCBEFBE" w:rsidR="00EC379B" w:rsidRDefault="006F64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C7E5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C3D98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A3EB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CF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0FB8" w14:textId="77777777" w:rsidR="00000000" w:rsidRDefault="006F64AA">
      <w:r>
        <w:separator/>
      </w:r>
    </w:p>
  </w:footnote>
  <w:footnote w:type="continuationSeparator" w:id="0">
    <w:p w14:paraId="2EA301BE" w14:textId="77777777" w:rsidR="00000000" w:rsidRDefault="006F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6A9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385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7E2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C59"/>
    <w:multiLevelType w:val="hybridMultilevel"/>
    <w:tmpl w:val="FFC82B7A"/>
    <w:lvl w:ilvl="0" w:tplc="C53AB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68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8D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44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C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63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CA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0A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03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34CC"/>
    <w:multiLevelType w:val="hybridMultilevel"/>
    <w:tmpl w:val="8940C57A"/>
    <w:lvl w:ilvl="0" w:tplc="777A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C7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82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62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E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ED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E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2F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E5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E86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2E82"/>
    <w:rsid w:val="000F3DBD"/>
    <w:rsid w:val="000F4131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7E2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FA4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EEC"/>
    <w:rsid w:val="00285DAF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A7E69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B2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B03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01F"/>
    <w:rsid w:val="004241AA"/>
    <w:rsid w:val="0042422E"/>
    <w:rsid w:val="0043190E"/>
    <w:rsid w:val="004324E9"/>
    <w:rsid w:val="00434F50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EC9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B7C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E5E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57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3A2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55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E2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4AA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1D6"/>
    <w:rsid w:val="007E59E8"/>
    <w:rsid w:val="007F3861"/>
    <w:rsid w:val="007F40E8"/>
    <w:rsid w:val="007F4162"/>
    <w:rsid w:val="007F5441"/>
    <w:rsid w:val="007F5EED"/>
    <w:rsid w:val="007F6273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6BC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996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0E"/>
    <w:rsid w:val="008D27A5"/>
    <w:rsid w:val="008D2AAB"/>
    <w:rsid w:val="008D309C"/>
    <w:rsid w:val="008D58F9"/>
    <w:rsid w:val="008E143D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337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873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237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4AE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B9C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C86"/>
    <w:rsid w:val="00A932BB"/>
    <w:rsid w:val="00A93579"/>
    <w:rsid w:val="00A93934"/>
    <w:rsid w:val="00A95D51"/>
    <w:rsid w:val="00AA18AE"/>
    <w:rsid w:val="00AA228B"/>
    <w:rsid w:val="00AA536C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AE4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1CB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986"/>
    <w:rsid w:val="00BF4949"/>
    <w:rsid w:val="00BF4D7C"/>
    <w:rsid w:val="00BF5085"/>
    <w:rsid w:val="00BF5C4A"/>
    <w:rsid w:val="00C013F4"/>
    <w:rsid w:val="00C040AB"/>
    <w:rsid w:val="00C0499B"/>
    <w:rsid w:val="00C05406"/>
    <w:rsid w:val="00C05CF0"/>
    <w:rsid w:val="00C116C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6E1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FED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26C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18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08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7E7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A9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4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9E4425-99B0-4C7E-8561-6D36E88C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74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74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418"/>
    <w:rPr>
      <w:b/>
      <w:bCs/>
    </w:rPr>
  </w:style>
  <w:style w:type="paragraph" w:styleId="Revision">
    <w:name w:val="Revision"/>
    <w:hidden/>
    <w:uiPriority w:val="99"/>
    <w:semiHidden/>
    <w:rsid w:val="00284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2605</Characters>
  <Application>Microsoft Office Word</Application>
  <DocSecurity>4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SB00810 (Committee Report (Unamended))</vt:lpstr>
    </vt:vector>
  </TitlesOfParts>
  <Company>State of Texas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27868</dc:subject>
  <dc:creator>State of Texas</dc:creator>
  <dc:description>SB 810 by Kolkhorst-(H)Higher Education</dc:description>
  <cp:lastModifiedBy>Lauren Bustamante</cp:lastModifiedBy>
  <cp:revision>2</cp:revision>
  <cp:lastPrinted>2003-11-26T17:21:00Z</cp:lastPrinted>
  <dcterms:created xsi:type="dcterms:W3CDTF">2021-05-19T23:02:00Z</dcterms:created>
  <dcterms:modified xsi:type="dcterms:W3CDTF">2021-05-19T23:02:00Z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21.138.1588</vt:lpwstr>
  </property>
</Properties>
</file>