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23E7C" w14:paraId="1774DC71" w14:textId="77777777" w:rsidTr="00345119">
        <w:tc>
          <w:tcPr>
            <w:tcW w:w="9576" w:type="dxa"/>
            <w:noWrap/>
          </w:tcPr>
          <w:p w14:paraId="67328067" w14:textId="77777777" w:rsidR="008423E4" w:rsidRPr="0022177D" w:rsidRDefault="002E37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939998A" w14:textId="77777777" w:rsidR="008423E4" w:rsidRPr="0022177D" w:rsidRDefault="008423E4" w:rsidP="008423E4">
      <w:pPr>
        <w:jc w:val="center"/>
      </w:pPr>
    </w:p>
    <w:p w14:paraId="31C42FB5" w14:textId="77777777" w:rsidR="008423E4" w:rsidRPr="00B31F0E" w:rsidRDefault="008423E4" w:rsidP="008423E4"/>
    <w:p w14:paraId="4E66EDDF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23E7C" w14:paraId="39AC110C" w14:textId="77777777" w:rsidTr="00345119">
        <w:tc>
          <w:tcPr>
            <w:tcW w:w="9576" w:type="dxa"/>
          </w:tcPr>
          <w:p w14:paraId="5DC069EA" w14:textId="77777777" w:rsidR="008423E4" w:rsidRPr="00861995" w:rsidRDefault="002E37FA" w:rsidP="00345119">
            <w:pPr>
              <w:jc w:val="right"/>
            </w:pPr>
            <w:r>
              <w:t>S.B. 903</w:t>
            </w:r>
          </w:p>
        </w:tc>
      </w:tr>
      <w:tr w:rsidR="00323E7C" w14:paraId="19EDD182" w14:textId="77777777" w:rsidTr="00345119">
        <w:tc>
          <w:tcPr>
            <w:tcW w:w="9576" w:type="dxa"/>
          </w:tcPr>
          <w:p w14:paraId="1916C770" w14:textId="77777777" w:rsidR="008423E4" w:rsidRPr="00861995" w:rsidRDefault="002E37FA" w:rsidP="00345119">
            <w:pPr>
              <w:jc w:val="right"/>
            </w:pPr>
            <w:r>
              <w:t xml:space="preserve">By: </w:t>
            </w:r>
            <w:r w:rsidR="0089111D">
              <w:t>Perry</w:t>
            </w:r>
          </w:p>
        </w:tc>
      </w:tr>
      <w:tr w:rsidR="00323E7C" w14:paraId="19DB03C4" w14:textId="77777777" w:rsidTr="00345119">
        <w:tc>
          <w:tcPr>
            <w:tcW w:w="9576" w:type="dxa"/>
          </w:tcPr>
          <w:p w14:paraId="538B1615" w14:textId="77777777" w:rsidR="008423E4" w:rsidRPr="00861995" w:rsidRDefault="002E37FA" w:rsidP="00345119">
            <w:pPr>
              <w:jc w:val="right"/>
            </w:pPr>
            <w:r>
              <w:t>Ways &amp; Means</w:t>
            </w:r>
          </w:p>
        </w:tc>
      </w:tr>
      <w:tr w:rsidR="00323E7C" w14:paraId="7389E6E8" w14:textId="77777777" w:rsidTr="00345119">
        <w:tc>
          <w:tcPr>
            <w:tcW w:w="9576" w:type="dxa"/>
          </w:tcPr>
          <w:p w14:paraId="022C2B68" w14:textId="77777777" w:rsidR="008423E4" w:rsidRDefault="002E37FA" w:rsidP="00345119">
            <w:pPr>
              <w:jc w:val="right"/>
            </w:pPr>
            <w:r>
              <w:t>Committee Report (Unamended)</w:t>
            </w:r>
          </w:p>
        </w:tc>
      </w:tr>
    </w:tbl>
    <w:p w14:paraId="0C6C3FFB" w14:textId="77777777" w:rsidR="008423E4" w:rsidRDefault="008423E4" w:rsidP="008423E4">
      <w:pPr>
        <w:tabs>
          <w:tab w:val="right" w:pos="9360"/>
        </w:tabs>
      </w:pPr>
    </w:p>
    <w:p w14:paraId="2FDF47BE" w14:textId="77777777" w:rsidR="008423E4" w:rsidRDefault="008423E4" w:rsidP="008423E4"/>
    <w:p w14:paraId="23D00969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23E7C" w14:paraId="625213CC" w14:textId="77777777" w:rsidTr="00345119">
        <w:tc>
          <w:tcPr>
            <w:tcW w:w="9576" w:type="dxa"/>
          </w:tcPr>
          <w:p w14:paraId="7F05BC42" w14:textId="77777777" w:rsidR="008423E4" w:rsidRPr="00A8133F" w:rsidRDefault="002E37FA" w:rsidP="00DF12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A143C3F" w14:textId="77777777" w:rsidR="008423E4" w:rsidRDefault="008423E4" w:rsidP="00DF1277"/>
          <w:p w14:paraId="4B026B87" w14:textId="38C721E8" w:rsidR="008423E4" w:rsidRDefault="002E37FA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State tax law currently</w:t>
            </w:r>
            <w:r w:rsidR="0089111D">
              <w:t xml:space="preserve"> prohibits a taxpayer from appealing the denial of a </w:t>
            </w:r>
            <w:r w:rsidR="00AC01DF">
              <w:t xml:space="preserve">tax </w:t>
            </w:r>
            <w:r w:rsidR="0089111D">
              <w:t xml:space="preserve">refund claim directly to a district court. After the </w:t>
            </w:r>
            <w:r>
              <w:t xml:space="preserve">comptroller </w:t>
            </w:r>
            <w:r w:rsidR="0089111D">
              <w:t xml:space="preserve">of </w:t>
            </w:r>
            <w:r w:rsidR="00A449ED">
              <w:t>p</w:t>
            </w:r>
            <w:r w:rsidR="0089111D">
              <w:t xml:space="preserve">ublic </w:t>
            </w:r>
            <w:r w:rsidR="00A449ED">
              <w:t>accounts</w:t>
            </w:r>
            <w:r w:rsidR="0089111D">
              <w:t xml:space="preserve"> denies a refund claim, the taxpayer must request a refund hearing, complete the hearing process at the State Office of Administrative Hearings (SOAH), and file a motion for rehearing, before filing suit. </w:t>
            </w:r>
            <w:r w:rsidR="00AC01DF">
              <w:t>Many t</w:t>
            </w:r>
            <w:r w:rsidR="0089111D">
              <w:t xml:space="preserve">axpayers </w:t>
            </w:r>
            <w:r w:rsidR="00AC01DF">
              <w:t>assert</w:t>
            </w:r>
            <w:r w:rsidR="0089111D">
              <w:t xml:space="preserve">, however, </w:t>
            </w:r>
            <w:r w:rsidR="00A449ED">
              <w:t xml:space="preserve">that </w:t>
            </w:r>
            <w:r w:rsidR="0089111D">
              <w:t>this process often involves issues that ultimately must be determined by a court</w:t>
            </w:r>
            <w:r w:rsidR="00A449ED">
              <w:t>, such as</w:t>
            </w:r>
            <w:r w:rsidR="0089111D">
              <w:t xml:space="preserve"> challenging the constitutionality of a statute</w:t>
            </w:r>
            <w:r w:rsidR="00A449ED">
              <w:t xml:space="preserve"> or </w:t>
            </w:r>
            <w:r w:rsidR="0089111D">
              <w:t>seeking to reverse comptroller policy or precedent. Further</w:t>
            </w:r>
            <w:r w:rsidR="00A449ED">
              <w:t>more</w:t>
            </w:r>
            <w:r w:rsidR="0089111D">
              <w:t>, the hearings process at SOAH overwhelmingly finds in favor of the state. For many taxpayers, a mandatory administrative hearing prior to fil</w:t>
            </w:r>
            <w:r w:rsidR="00A449ED">
              <w:t>ing</w:t>
            </w:r>
            <w:r w:rsidR="0089111D">
              <w:t xml:space="preserve"> in a district court is unnecessary</w:t>
            </w:r>
            <w:r w:rsidR="00484B6C">
              <w:t xml:space="preserve"> and</w:t>
            </w:r>
            <w:r w:rsidR="0089111D">
              <w:t xml:space="preserve"> expensive and unreasonably delays the opportunity to resolve their tax case.</w:t>
            </w:r>
            <w:r w:rsidR="00A449ED">
              <w:t xml:space="preserve"> </w:t>
            </w:r>
            <w:r w:rsidR="0089111D">
              <w:t xml:space="preserve">S.B. 903 seeks to </w:t>
            </w:r>
            <w:r w:rsidR="00A449ED">
              <w:t xml:space="preserve">remedy this situation by </w:t>
            </w:r>
            <w:r w:rsidR="0089111D">
              <w:t>provid</w:t>
            </w:r>
            <w:r w:rsidR="00A449ED">
              <w:t>ing</w:t>
            </w:r>
            <w:r w:rsidR="0089111D">
              <w:t xml:space="preserve"> taxpayers the option </w:t>
            </w:r>
            <w:r w:rsidR="00A449ED">
              <w:t xml:space="preserve">to </w:t>
            </w:r>
            <w:r w:rsidR="0089111D">
              <w:t>tak</w:t>
            </w:r>
            <w:r w:rsidR="00A449ED">
              <w:t>e</w:t>
            </w:r>
            <w:r w:rsidR="0089111D">
              <w:t xml:space="preserve"> refund claims directly to a district court, giving them the opportunity to resolve their tax cases more expeditiously.</w:t>
            </w:r>
          </w:p>
          <w:p w14:paraId="36E3F59B" w14:textId="77777777" w:rsidR="008423E4" w:rsidRPr="00E26B13" w:rsidRDefault="008423E4" w:rsidP="00DF1277">
            <w:pPr>
              <w:rPr>
                <w:b/>
              </w:rPr>
            </w:pPr>
          </w:p>
        </w:tc>
      </w:tr>
      <w:tr w:rsidR="00323E7C" w14:paraId="1CF7352B" w14:textId="77777777" w:rsidTr="00345119">
        <w:tc>
          <w:tcPr>
            <w:tcW w:w="9576" w:type="dxa"/>
          </w:tcPr>
          <w:p w14:paraId="01CE66CF" w14:textId="77777777" w:rsidR="0017725B" w:rsidRDefault="002E37FA" w:rsidP="00DF12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64AC3AD" w14:textId="77777777" w:rsidR="0017725B" w:rsidRDefault="0017725B" w:rsidP="00DF1277">
            <w:pPr>
              <w:rPr>
                <w:b/>
                <w:u w:val="single"/>
              </w:rPr>
            </w:pPr>
          </w:p>
          <w:p w14:paraId="5D41B1B2" w14:textId="77777777" w:rsidR="0089111D" w:rsidRPr="0089111D" w:rsidRDefault="002E37FA" w:rsidP="00DF1277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C4ACF15" w14:textId="77777777" w:rsidR="0017725B" w:rsidRPr="0017725B" w:rsidRDefault="0017725B" w:rsidP="00DF1277">
            <w:pPr>
              <w:rPr>
                <w:b/>
                <w:u w:val="single"/>
              </w:rPr>
            </w:pPr>
          </w:p>
        </w:tc>
      </w:tr>
      <w:tr w:rsidR="00323E7C" w14:paraId="2B3736BB" w14:textId="77777777" w:rsidTr="00345119">
        <w:tc>
          <w:tcPr>
            <w:tcW w:w="9576" w:type="dxa"/>
          </w:tcPr>
          <w:p w14:paraId="52BF729C" w14:textId="77777777" w:rsidR="008423E4" w:rsidRPr="00A8133F" w:rsidRDefault="002E37FA" w:rsidP="00DF12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59CA929" w14:textId="77777777" w:rsidR="008423E4" w:rsidRDefault="008423E4" w:rsidP="00DF1277"/>
          <w:p w14:paraId="36123F3F" w14:textId="77777777" w:rsidR="0089111D" w:rsidRDefault="002E37FA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751113F3" w14:textId="77777777" w:rsidR="008423E4" w:rsidRPr="00E21FDC" w:rsidRDefault="008423E4" w:rsidP="00DF1277">
            <w:pPr>
              <w:rPr>
                <w:b/>
              </w:rPr>
            </w:pPr>
          </w:p>
        </w:tc>
      </w:tr>
      <w:tr w:rsidR="00323E7C" w14:paraId="1B02689C" w14:textId="77777777" w:rsidTr="00345119">
        <w:tc>
          <w:tcPr>
            <w:tcW w:w="9576" w:type="dxa"/>
          </w:tcPr>
          <w:p w14:paraId="003B7BAE" w14:textId="77777777" w:rsidR="008423E4" w:rsidRPr="00A8133F" w:rsidRDefault="002E37FA" w:rsidP="00DF12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5046A3A" w14:textId="77777777" w:rsidR="008423E4" w:rsidRDefault="008423E4" w:rsidP="00DF1277"/>
          <w:p w14:paraId="156BE667" w14:textId="0FA6FBFF" w:rsidR="009C36CD" w:rsidRDefault="002E37FA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903 amends the Tax Code to authorize a person claiming a </w:t>
            </w:r>
            <w:r w:rsidR="008912E1">
              <w:t xml:space="preserve">refund for an unlawfully or erroneously collected </w:t>
            </w:r>
            <w:r w:rsidR="00F15DE5">
              <w:t>tax</w:t>
            </w:r>
            <w:r w:rsidR="008F1ECD">
              <w:t>, penalty, or interest</w:t>
            </w:r>
            <w:r w:rsidR="00F15DE5">
              <w:t xml:space="preserve"> </w:t>
            </w:r>
            <w:r w:rsidR="00385D95">
              <w:t xml:space="preserve">to file with the comptroller of public accounts </w:t>
            </w:r>
            <w:r w:rsidR="0068453B">
              <w:t xml:space="preserve">a notice of intent to bypass </w:t>
            </w:r>
            <w:r w:rsidR="001A01A7">
              <w:t xml:space="preserve">the </w:t>
            </w:r>
            <w:r w:rsidR="0068453B">
              <w:t xml:space="preserve">hearing </w:t>
            </w:r>
            <w:r w:rsidR="001A01A7">
              <w:t>to which the</w:t>
            </w:r>
            <w:r w:rsidR="0068453B">
              <w:t xml:space="preserve"> perso</w:t>
            </w:r>
            <w:r w:rsidR="001A01A7">
              <w:t xml:space="preserve">n is entitled. The notice </w:t>
            </w:r>
            <w:r w:rsidR="0099744C">
              <w:t>must meet the following requirements</w:t>
            </w:r>
            <w:r w:rsidR="001A01A7">
              <w:t>:</w:t>
            </w:r>
          </w:p>
          <w:p w14:paraId="6772A929" w14:textId="59A5F196" w:rsidR="001A01A7" w:rsidRDefault="002E37FA" w:rsidP="00DF1277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be filed on or </w:t>
            </w:r>
            <w:r>
              <w:t>before the 60th day after the date the comptroller issues a letter denying the claim for</w:t>
            </w:r>
            <w:r w:rsidR="00AE4BFE">
              <w:t xml:space="preserve"> the</w:t>
            </w:r>
            <w:r>
              <w:t xml:space="preserve"> refund;</w:t>
            </w:r>
          </w:p>
          <w:p w14:paraId="34D07634" w14:textId="29731267" w:rsidR="001A01A7" w:rsidRDefault="002E37FA" w:rsidP="00DF1277">
            <w:pPr>
              <w:pStyle w:val="Header"/>
              <w:numPr>
                <w:ilvl w:val="0"/>
                <w:numId w:val="2"/>
              </w:numPr>
              <w:jc w:val="both"/>
            </w:pPr>
            <w:r>
              <w:t>be in writing</w:t>
            </w:r>
            <w:r w:rsidR="0099744C">
              <w:t xml:space="preserve"> and specify the amount of the refund claimed</w:t>
            </w:r>
            <w:r>
              <w:t>;</w:t>
            </w:r>
            <w:r w:rsidR="0099744C">
              <w:t xml:space="preserve"> and</w:t>
            </w:r>
          </w:p>
          <w:p w14:paraId="6B242D98" w14:textId="7F8D84C7" w:rsidR="001A01A7" w:rsidRDefault="002E37FA" w:rsidP="00DF1277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assert the material facts and each specific legal basis on which </w:t>
            </w:r>
            <w:r w:rsidR="00AE4BFE">
              <w:t xml:space="preserve">the </w:t>
            </w:r>
            <w:r>
              <w:t>refund is claimed.</w:t>
            </w:r>
          </w:p>
          <w:p w14:paraId="2C4F978A" w14:textId="6E73EA06" w:rsidR="001A01A7" w:rsidRDefault="001A01A7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755ACF" w14:textId="6FE5D666" w:rsidR="001A01A7" w:rsidRDefault="002E37FA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</w:t>
            </w:r>
            <w:r>
              <w:t xml:space="preserve">B. 903 authorizes the comptroller to require a conference between a person who files a notice of intent and a designated officer or employee of the comptroller to clarify </w:t>
            </w:r>
            <w:r w:rsidRPr="001A01A7">
              <w:t>any fact or legal issue in dispute regarding the refund claim and to discuss the avai</w:t>
            </w:r>
            <w:r w:rsidRPr="001A01A7">
              <w:t>lability of additional documentation that may assist in resolving outstanding issues regarding the claim. The person who filed the notice may amend a material fact or legal basis following the conference if the comptroller agrees in writing to the amendmen</w:t>
            </w:r>
            <w:r w:rsidRPr="001A01A7">
              <w:t>t.</w:t>
            </w:r>
          </w:p>
          <w:p w14:paraId="25296A3A" w14:textId="77777777" w:rsidR="00447F72" w:rsidRDefault="00447F72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0DD014C" w14:textId="5F5EE863" w:rsidR="00447F72" w:rsidRDefault="002E37FA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903 requires the comptroller, if the comptroller requires </w:t>
            </w:r>
            <w:r w:rsidR="005214C7">
              <w:t xml:space="preserve">such </w:t>
            </w:r>
            <w:r>
              <w:t>a conference, to notify the person of the conference requirement not later than the 30th day after the date the notice of intent was filed. The notice of the conference requirement mus</w:t>
            </w:r>
            <w:r>
              <w:t xml:space="preserve">t be in writing and include a date and time for the conference, which must be no later than the 90th day after the date the notice of intent was filed. </w:t>
            </w:r>
          </w:p>
          <w:p w14:paraId="07DE70C4" w14:textId="77777777" w:rsidR="005D6FEC" w:rsidRDefault="005D6FEC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9878C5C" w14:textId="70EE8272" w:rsidR="001A01A7" w:rsidRDefault="002E37FA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903 authorizes the person who filed the notice of intent to request </w:t>
            </w:r>
            <w:r w:rsidRPr="00AE1785">
              <w:t xml:space="preserve">to reschedule the conference </w:t>
            </w:r>
            <w:r w:rsidRPr="00AE1785">
              <w:t>date provided in the</w:t>
            </w:r>
            <w:r>
              <w:t xml:space="preserve"> comptroller's</w:t>
            </w:r>
            <w:r w:rsidRPr="00AE1785">
              <w:t xml:space="preserve"> notice</w:t>
            </w:r>
            <w:r>
              <w:t xml:space="preserve"> and requires the</w:t>
            </w:r>
            <w:r w:rsidRPr="00AE1785">
              <w:t xml:space="preserve"> comptroller </w:t>
            </w:r>
            <w:r>
              <w:t>to</w:t>
            </w:r>
            <w:r w:rsidRPr="00AE1785">
              <w:t xml:space="preserve"> make a good faith effort to accommodate the request</w:t>
            </w:r>
            <w:r>
              <w:t xml:space="preserve">. </w:t>
            </w:r>
            <w:r w:rsidRPr="00AE1785">
              <w:t>If the comptroller and the person do not agree on or before the 90th day after the date the notice of intent was filed to a rescheduled date for the conference, the person may rescind the notice of intent on or before the 120th day after the date the notic</w:t>
            </w:r>
            <w:r w:rsidRPr="00AE1785">
              <w:t xml:space="preserve">e was filed and request a </w:t>
            </w:r>
            <w:r>
              <w:t xml:space="preserve">tax refund </w:t>
            </w:r>
            <w:r w:rsidRPr="00AE1785">
              <w:t>hearing</w:t>
            </w:r>
            <w:r>
              <w:t>. Otherwise, a person who files a notice of intent waives the person's right to such a hearing.</w:t>
            </w:r>
          </w:p>
          <w:p w14:paraId="090F4D86" w14:textId="77777777" w:rsidR="005D6FEC" w:rsidRDefault="005D6FEC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02097C3" w14:textId="238F463E" w:rsidR="001A01A7" w:rsidRDefault="002E37FA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903 authorizes a person who files a notice of </w:t>
            </w:r>
            <w:r w:rsidR="00814D0A">
              <w:t>intent to bypass the hearing and</w:t>
            </w:r>
            <w:r>
              <w:t xml:space="preserve"> bring a suit for a refund to re</w:t>
            </w:r>
            <w:r>
              <w:t xml:space="preserve">cover </w:t>
            </w:r>
            <w:r w:rsidR="005214C7">
              <w:t xml:space="preserve">the </w:t>
            </w:r>
            <w:r>
              <w:t xml:space="preserve">amount of </w:t>
            </w:r>
            <w:r w:rsidR="005214C7">
              <w:t xml:space="preserve">the </w:t>
            </w:r>
            <w:r>
              <w:t>tax, penalty, or interest if</w:t>
            </w:r>
            <w:r w:rsidR="005214C7">
              <w:t xml:space="preserve"> </w:t>
            </w:r>
            <w:r w:rsidR="00F2668B">
              <w:t>either of the following</w:t>
            </w:r>
            <w:r w:rsidR="005214C7">
              <w:t xml:space="preserve"> conditions are met</w:t>
            </w:r>
            <w:r>
              <w:t>:</w:t>
            </w:r>
          </w:p>
          <w:p w14:paraId="5D6AF4DF" w14:textId="4A867DC2" w:rsidR="001A01A7" w:rsidRDefault="002E37FA" w:rsidP="00DF127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person participated in a conference</w:t>
            </w:r>
            <w:r w:rsidR="007F17AB">
              <w:t xml:space="preserve"> required by the comptroller</w:t>
            </w:r>
            <w:r>
              <w:t>, in which case the suit must be filed on or before the 60th day after the date the conferen</w:t>
            </w:r>
            <w:r>
              <w:t>ce concludes or a later date agreed to by the comptroller; or</w:t>
            </w:r>
          </w:p>
          <w:p w14:paraId="6B40F177" w14:textId="24934F06" w:rsidR="001A01A7" w:rsidRDefault="002E37FA" w:rsidP="00DF127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comptroller does not </w:t>
            </w:r>
            <w:r w:rsidR="00AE1785">
              <w:t xml:space="preserve">timely </w:t>
            </w:r>
            <w:r>
              <w:t>provide notice that a conference is required, in which case the suit must be filed on or before the 90th day after the date the notice of intent was filed.</w:t>
            </w:r>
          </w:p>
          <w:p w14:paraId="058F7E6E" w14:textId="4C9B46F6" w:rsidR="003926F5" w:rsidRDefault="002E37FA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</w:t>
            </w:r>
            <w:r>
              <w:t>ll</w:t>
            </w:r>
            <w:r w:rsidR="000D2340">
              <w:t xml:space="preserve"> </w:t>
            </w:r>
            <w:r w:rsidR="005D6FEC">
              <w:t xml:space="preserve">clarifies that </w:t>
            </w:r>
            <w:r>
              <w:t>the</w:t>
            </w:r>
            <w:r w:rsidR="005D6FEC">
              <w:t xml:space="preserve"> person</w:t>
            </w:r>
            <w:r>
              <w:t xml:space="preserve"> must file the suit during the provided time or it is barred. The bill</w:t>
            </w:r>
            <w:r w:rsidR="005D6FEC">
              <w:t xml:space="preserve"> </w:t>
            </w:r>
            <w:r w:rsidR="001F1C0C">
              <w:t>requires a copy of the notice of intent to be attached to the original petition filed</w:t>
            </w:r>
            <w:r w:rsidR="005D6FEC">
              <w:t xml:space="preserve"> in such a suit</w:t>
            </w:r>
            <w:r w:rsidR="001F1C0C">
              <w:t xml:space="preserve"> with the court and to the copies of the original petition served on the comptroller and attorney general. The bill </w:t>
            </w:r>
            <w:r w:rsidR="00561F68">
              <w:t>authorizes material facts and legal bases contained in the notice of intent to be raised as issues</w:t>
            </w:r>
            <w:r>
              <w:t xml:space="preserve"> in </w:t>
            </w:r>
            <w:r w:rsidR="005D6FEC">
              <w:t xml:space="preserve">such </w:t>
            </w:r>
            <w:r>
              <w:t>a suit.</w:t>
            </w:r>
            <w:r w:rsidR="00561F68">
              <w:t xml:space="preserve"> </w:t>
            </w:r>
            <w:r>
              <w:t>The suit appl</w:t>
            </w:r>
            <w:r w:rsidR="00DC30E2">
              <w:t>i</w:t>
            </w:r>
            <w:r>
              <w:t xml:space="preserve">es only to a tax liability period covered by the </w:t>
            </w:r>
            <w:r w:rsidR="005D6FEC">
              <w:t xml:space="preserve">filed </w:t>
            </w:r>
            <w:r>
              <w:t>notice of int</w:t>
            </w:r>
            <w:r>
              <w:t>ent.</w:t>
            </w:r>
            <w:r w:rsidR="000365E9">
              <w:t xml:space="preserve">   </w:t>
            </w:r>
          </w:p>
          <w:p w14:paraId="627C17C2" w14:textId="173CD02F" w:rsidR="00561F68" w:rsidRDefault="00561F68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30B6BB3" w14:textId="4ECD3D8E" w:rsidR="00561F68" w:rsidRPr="009C36CD" w:rsidRDefault="002E37FA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903 changes the filing deadline for a suit for a tax refund in which the person has filed a motion for rehearing that has been denied by the comptroller from 30 days after the issue date of the denial of the motion for rehearing</w:t>
            </w:r>
            <w:r w:rsidR="001F1C0C">
              <w:t xml:space="preserve"> to 60 days after that </w:t>
            </w:r>
            <w:r w:rsidR="003807C7">
              <w:t xml:space="preserve">issue </w:t>
            </w:r>
            <w:r w:rsidR="001F1C0C">
              <w:t>date.</w:t>
            </w:r>
          </w:p>
          <w:p w14:paraId="6CF2004D" w14:textId="77777777" w:rsidR="008423E4" w:rsidRPr="00835628" w:rsidRDefault="008423E4" w:rsidP="00DF1277">
            <w:pPr>
              <w:rPr>
                <w:b/>
              </w:rPr>
            </w:pPr>
          </w:p>
        </w:tc>
      </w:tr>
      <w:tr w:rsidR="00323E7C" w14:paraId="6770ADF3" w14:textId="77777777" w:rsidTr="00345119">
        <w:tc>
          <w:tcPr>
            <w:tcW w:w="9576" w:type="dxa"/>
          </w:tcPr>
          <w:p w14:paraId="4673EC08" w14:textId="77777777" w:rsidR="008423E4" w:rsidRPr="00A8133F" w:rsidRDefault="002E37FA" w:rsidP="00DF12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832D40F" w14:textId="77777777" w:rsidR="008423E4" w:rsidRDefault="008423E4" w:rsidP="00DF1277"/>
          <w:p w14:paraId="00FE2589" w14:textId="77777777" w:rsidR="008423E4" w:rsidRPr="003624F2" w:rsidRDefault="002E37FA" w:rsidP="00DF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0F2A354" w14:textId="77777777" w:rsidR="008423E4" w:rsidRPr="00233FDB" w:rsidRDefault="008423E4" w:rsidP="00DF1277">
            <w:pPr>
              <w:rPr>
                <w:b/>
              </w:rPr>
            </w:pPr>
          </w:p>
        </w:tc>
      </w:tr>
    </w:tbl>
    <w:p w14:paraId="68CE1FD9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46A8C4D0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5E9D" w14:textId="77777777" w:rsidR="00000000" w:rsidRDefault="002E37FA">
      <w:r>
        <w:separator/>
      </w:r>
    </w:p>
  </w:endnote>
  <w:endnote w:type="continuationSeparator" w:id="0">
    <w:p w14:paraId="5FA57F35" w14:textId="77777777" w:rsidR="00000000" w:rsidRDefault="002E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46D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23E7C" w14:paraId="2D76464E" w14:textId="77777777" w:rsidTr="009C1E9A">
      <w:trPr>
        <w:cantSplit/>
      </w:trPr>
      <w:tc>
        <w:tcPr>
          <w:tcW w:w="0" w:type="pct"/>
        </w:tcPr>
        <w:p w14:paraId="1E6961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BB87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53E4E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808F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C1DC7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3E7C" w14:paraId="4E954AF7" w14:textId="77777777" w:rsidTr="009C1E9A">
      <w:trPr>
        <w:cantSplit/>
      </w:trPr>
      <w:tc>
        <w:tcPr>
          <w:tcW w:w="0" w:type="pct"/>
        </w:tcPr>
        <w:p w14:paraId="2D73DA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811C02" w14:textId="77777777" w:rsidR="00EC379B" w:rsidRPr="009C1E9A" w:rsidRDefault="002E37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22537</w:t>
          </w:r>
        </w:p>
      </w:tc>
      <w:tc>
        <w:tcPr>
          <w:tcW w:w="2453" w:type="pct"/>
        </w:tcPr>
        <w:p w14:paraId="041C592A" w14:textId="094ED212" w:rsidR="00EC379B" w:rsidRDefault="002E37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E401F">
            <w:t>21.116.640</w:t>
          </w:r>
          <w:r>
            <w:fldChar w:fldCharType="end"/>
          </w:r>
        </w:p>
      </w:tc>
    </w:tr>
    <w:tr w:rsidR="00323E7C" w14:paraId="5623F5FF" w14:textId="77777777" w:rsidTr="009C1E9A">
      <w:trPr>
        <w:cantSplit/>
      </w:trPr>
      <w:tc>
        <w:tcPr>
          <w:tcW w:w="0" w:type="pct"/>
        </w:tcPr>
        <w:p w14:paraId="5069D41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6FAB24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A96168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EBE1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3E7C" w14:paraId="1682075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CA12389" w14:textId="6F28694A" w:rsidR="00EC379B" w:rsidRDefault="002E37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A38A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CDD07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5F63D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0CE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0F92" w14:textId="77777777" w:rsidR="00000000" w:rsidRDefault="002E37FA">
      <w:r>
        <w:separator/>
      </w:r>
    </w:p>
  </w:footnote>
  <w:footnote w:type="continuationSeparator" w:id="0">
    <w:p w14:paraId="127CD59B" w14:textId="77777777" w:rsidR="00000000" w:rsidRDefault="002E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51E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924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FB76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4696"/>
    <w:multiLevelType w:val="hybridMultilevel"/>
    <w:tmpl w:val="3508E52C"/>
    <w:lvl w:ilvl="0" w:tplc="698A4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2D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0F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40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0D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D89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EF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48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43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2384"/>
    <w:multiLevelType w:val="hybridMultilevel"/>
    <w:tmpl w:val="51A6C5EA"/>
    <w:lvl w:ilvl="0" w:tplc="8DAEC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22E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E0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AB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49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01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A1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4F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2A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2332"/>
    <w:multiLevelType w:val="hybridMultilevel"/>
    <w:tmpl w:val="D1042E3A"/>
    <w:lvl w:ilvl="0" w:tplc="41329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0A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A1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23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49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6CE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6D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4C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44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594A"/>
    <w:multiLevelType w:val="hybridMultilevel"/>
    <w:tmpl w:val="56B01FF0"/>
    <w:lvl w:ilvl="0" w:tplc="AC141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CD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8E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C9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01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0E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04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22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66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1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5E9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60D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340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752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1A7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C0C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0D8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7FA"/>
    <w:rsid w:val="002E7DF9"/>
    <w:rsid w:val="002F097B"/>
    <w:rsid w:val="002F3111"/>
    <w:rsid w:val="002F4AEC"/>
    <w:rsid w:val="002F795D"/>
    <w:rsid w:val="00300823"/>
    <w:rsid w:val="00300D7F"/>
    <w:rsid w:val="00301271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3E7C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5820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7C7"/>
    <w:rsid w:val="003847E8"/>
    <w:rsid w:val="00385D95"/>
    <w:rsid w:val="0038731D"/>
    <w:rsid w:val="00387B60"/>
    <w:rsid w:val="00390098"/>
    <w:rsid w:val="003926F5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6FA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F72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B6C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9FB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4C7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1F68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FEC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53B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D47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3F90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7AB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D0A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11D"/>
    <w:rsid w:val="008912E1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ECD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44C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9ED"/>
    <w:rsid w:val="00A45CCB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0B9"/>
    <w:rsid w:val="00AB1655"/>
    <w:rsid w:val="00AB1873"/>
    <w:rsid w:val="00AB2C05"/>
    <w:rsid w:val="00AB3536"/>
    <w:rsid w:val="00AB474B"/>
    <w:rsid w:val="00AB5CCC"/>
    <w:rsid w:val="00AB74E2"/>
    <w:rsid w:val="00AC01DF"/>
    <w:rsid w:val="00AC2E9A"/>
    <w:rsid w:val="00AC5AAB"/>
    <w:rsid w:val="00AC5AEC"/>
    <w:rsid w:val="00AC5F28"/>
    <w:rsid w:val="00AC6900"/>
    <w:rsid w:val="00AD304B"/>
    <w:rsid w:val="00AD4497"/>
    <w:rsid w:val="00AD7780"/>
    <w:rsid w:val="00AE1785"/>
    <w:rsid w:val="00AE2263"/>
    <w:rsid w:val="00AE248E"/>
    <w:rsid w:val="00AE2D12"/>
    <w:rsid w:val="00AE2F06"/>
    <w:rsid w:val="00AE4BFE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538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38A2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5B0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DBC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0E2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277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01F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DE5"/>
    <w:rsid w:val="00F164B4"/>
    <w:rsid w:val="00F176E4"/>
    <w:rsid w:val="00F20E5F"/>
    <w:rsid w:val="00F25CC2"/>
    <w:rsid w:val="00F2668B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7655EA-9D48-4524-90CA-215154EC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11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11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1A7"/>
    <w:rPr>
      <w:b/>
      <w:bCs/>
    </w:rPr>
  </w:style>
  <w:style w:type="paragraph" w:styleId="Revision">
    <w:name w:val="Revision"/>
    <w:hidden/>
    <w:uiPriority w:val="99"/>
    <w:semiHidden/>
    <w:rsid w:val="001A0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4341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SB00903 (Committee Report (Unamended))</vt:lpstr>
    </vt:vector>
  </TitlesOfParts>
  <Company>State of Texas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22537</dc:subject>
  <dc:creator>State of Texas</dc:creator>
  <dc:description>SB 903 by Perry-(H)Ways &amp; Means</dc:description>
  <cp:lastModifiedBy>Stacey Nicchio</cp:lastModifiedBy>
  <cp:revision>2</cp:revision>
  <cp:lastPrinted>2003-11-26T17:21:00Z</cp:lastPrinted>
  <dcterms:created xsi:type="dcterms:W3CDTF">2021-05-03T20:35:00Z</dcterms:created>
  <dcterms:modified xsi:type="dcterms:W3CDTF">2021-05-03T20:35:00Z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21.116.640</vt:lpwstr>
  </property>
</Properties>
</file>