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C07925" w14:paraId="10DEA362" w14:textId="77777777" w:rsidTr="00345119">
        <w:tc>
          <w:tcPr>
            <w:tcW w:w="9576" w:type="dxa"/>
            <w:noWrap/>
          </w:tcPr>
          <w:p w14:paraId="2D96E512" w14:textId="70ACC3A2" w:rsidR="008423E4" w:rsidRPr="0022177D" w:rsidRDefault="00D464EC" w:rsidP="003338EE">
            <w:pPr>
              <w:pStyle w:val="Heading1"/>
            </w:pPr>
            <w:bookmarkStart w:id="0" w:name="_GoBack"/>
            <w:bookmarkEnd w:id="0"/>
            <w:r w:rsidRPr="00631897">
              <w:t>BILL ANALYSIS</w:t>
            </w:r>
          </w:p>
        </w:tc>
      </w:tr>
    </w:tbl>
    <w:p w14:paraId="482E90C9" w14:textId="77777777" w:rsidR="008423E4" w:rsidRPr="0022177D" w:rsidRDefault="008423E4" w:rsidP="003338EE">
      <w:pPr>
        <w:jc w:val="center"/>
      </w:pPr>
    </w:p>
    <w:p w14:paraId="3D7552F9" w14:textId="77777777" w:rsidR="008423E4" w:rsidRPr="00B31F0E" w:rsidRDefault="008423E4" w:rsidP="003338EE"/>
    <w:p w14:paraId="58FD0022" w14:textId="77777777" w:rsidR="008423E4" w:rsidRPr="00742794" w:rsidRDefault="008423E4" w:rsidP="003338EE">
      <w:pPr>
        <w:tabs>
          <w:tab w:val="right" w:pos="9360"/>
        </w:tabs>
      </w:pPr>
    </w:p>
    <w:tbl>
      <w:tblPr>
        <w:tblW w:w="0" w:type="auto"/>
        <w:tblLayout w:type="fixed"/>
        <w:tblLook w:val="01E0" w:firstRow="1" w:lastRow="1" w:firstColumn="1" w:lastColumn="1" w:noHBand="0" w:noVBand="0"/>
      </w:tblPr>
      <w:tblGrid>
        <w:gridCol w:w="9576"/>
      </w:tblGrid>
      <w:tr w:rsidR="00C07925" w14:paraId="44F5D345" w14:textId="77777777" w:rsidTr="00345119">
        <w:tc>
          <w:tcPr>
            <w:tcW w:w="9576" w:type="dxa"/>
          </w:tcPr>
          <w:p w14:paraId="7CFB04D8" w14:textId="339B140B" w:rsidR="008423E4" w:rsidRPr="00861995" w:rsidRDefault="00D464EC" w:rsidP="003338EE">
            <w:pPr>
              <w:jc w:val="right"/>
            </w:pPr>
            <w:r>
              <w:t>C.S.S.B. 906</w:t>
            </w:r>
          </w:p>
        </w:tc>
      </w:tr>
      <w:tr w:rsidR="00C07925" w14:paraId="73EA20EA" w14:textId="77777777" w:rsidTr="00345119">
        <w:tc>
          <w:tcPr>
            <w:tcW w:w="9576" w:type="dxa"/>
          </w:tcPr>
          <w:p w14:paraId="25B6E133" w14:textId="40AB9F82" w:rsidR="008423E4" w:rsidRPr="00861995" w:rsidRDefault="00D464EC" w:rsidP="003F7E7C">
            <w:pPr>
              <w:jc w:val="right"/>
            </w:pPr>
            <w:r>
              <w:t xml:space="preserve">By: </w:t>
            </w:r>
            <w:r w:rsidR="003F7E7C">
              <w:t>Perry</w:t>
            </w:r>
          </w:p>
        </w:tc>
      </w:tr>
      <w:tr w:rsidR="00C07925" w14:paraId="589B8C59" w14:textId="77777777" w:rsidTr="00345119">
        <w:tc>
          <w:tcPr>
            <w:tcW w:w="9576" w:type="dxa"/>
          </w:tcPr>
          <w:p w14:paraId="77FDA478" w14:textId="05ACDE2E" w:rsidR="008423E4" w:rsidRPr="00861995" w:rsidRDefault="00D464EC" w:rsidP="003338EE">
            <w:pPr>
              <w:jc w:val="right"/>
            </w:pPr>
            <w:r>
              <w:t>Corrections</w:t>
            </w:r>
          </w:p>
        </w:tc>
      </w:tr>
      <w:tr w:rsidR="00C07925" w14:paraId="35B1E8F2" w14:textId="77777777" w:rsidTr="00345119">
        <w:tc>
          <w:tcPr>
            <w:tcW w:w="9576" w:type="dxa"/>
          </w:tcPr>
          <w:p w14:paraId="62641CCE" w14:textId="2292B9E5" w:rsidR="008423E4" w:rsidRDefault="00D464EC" w:rsidP="003338EE">
            <w:pPr>
              <w:jc w:val="right"/>
            </w:pPr>
            <w:r>
              <w:t>Committee Report (Substituted)</w:t>
            </w:r>
          </w:p>
        </w:tc>
      </w:tr>
    </w:tbl>
    <w:p w14:paraId="05426B27" w14:textId="77777777" w:rsidR="008423E4" w:rsidRPr="008070A7" w:rsidRDefault="008423E4" w:rsidP="003338EE">
      <w:pPr>
        <w:tabs>
          <w:tab w:val="right" w:pos="9360"/>
        </w:tabs>
        <w:rPr>
          <w:sz w:val="22"/>
          <w:szCs w:val="22"/>
        </w:rPr>
      </w:pPr>
    </w:p>
    <w:p w14:paraId="60156579" w14:textId="77777777" w:rsidR="008423E4" w:rsidRPr="008070A7" w:rsidRDefault="008423E4" w:rsidP="003338EE">
      <w:pPr>
        <w:rPr>
          <w:sz w:val="22"/>
          <w:szCs w:val="22"/>
        </w:rPr>
      </w:pPr>
    </w:p>
    <w:p w14:paraId="2FE2B68A" w14:textId="77777777" w:rsidR="008423E4" w:rsidRDefault="008423E4" w:rsidP="003338EE"/>
    <w:tbl>
      <w:tblPr>
        <w:tblW w:w="0" w:type="auto"/>
        <w:tblCellMar>
          <w:left w:w="115" w:type="dxa"/>
          <w:right w:w="115" w:type="dxa"/>
        </w:tblCellMar>
        <w:tblLook w:val="01E0" w:firstRow="1" w:lastRow="1" w:firstColumn="1" w:lastColumn="1" w:noHBand="0" w:noVBand="0"/>
      </w:tblPr>
      <w:tblGrid>
        <w:gridCol w:w="9360"/>
      </w:tblGrid>
      <w:tr w:rsidR="00C07925" w14:paraId="2BB1B7B4" w14:textId="77777777" w:rsidTr="00A97D72">
        <w:tc>
          <w:tcPr>
            <w:tcW w:w="9360" w:type="dxa"/>
          </w:tcPr>
          <w:p w14:paraId="27818EF8" w14:textId="77777777" w:rsidR="008423E4" w:rsidRPr="00A8133F" w:rsidRDefault="00D464EC" w:rsidP="003338EE">
            <w:pPr>
              <w:jc w:val="both"/>
              <w:rPr>
                <w:b/>
              </w:rPr>
            </w:pPr>
            <w:r w:rsidRPr="009C1E9A">
              <w:rPr>
                <w:b/>
                <w:u w:val="single"/>
              </w:rPr>
              <w:t>BACKGROUND AND PURPOSE</w:t>
            </w:r>
            <w:r>
              <w:rPr>
                <w:b/>
              </w:rPr>
              <w:t xml:space="preserve"> </w:t>
            </w:r>
          </w:p>
          <w:p w14:paraId="30569AD5" w14:textId="77777777" w:rsidR="008423E4" w:rsidRDefault="008423E4" w:rsidP="003338EE">
            <w:pPr>
              <w:jc w:val="both"/>
            </w:pPr>
          </w:p>
          <w:p w14:paraId="5011F90C" w14:textId="0303057E" w:rsidR="00584D12" w:rsidRDefault="00D464EC" w:rsidP="003338EE">
            <w:pPr>
              <w:pStyle w:val="Header"/>
              <w:jc w:val="both"/>
            </w:pPr>
            <w:r>
              <w:t xml:space="preserve">It has been noted that </w:t>
            </w:r>
            <w:r w:rsidR="006F38FD">
              <w:t xml:space="preserve">there are several loopholes relating to the civil commitment of sexually violent predators, such as </w:t>
            </w:r>
            <w:r w:rsidR="002363F4">
              <w:t xml:space="preserve">lack of </w:t>
            </w:r>
            <w:r w:rsidR="008B7309">
              <w:t xml:space="preserve">ability to issue an emergency detention order for a newly committed person, </w:t>
            </w:r>
            <w:r w:rsidR="002C0B68">
              <w:t xml:space="preserve">lack of </w:t>
            </w:r>
            <w:r w:rsidR="006F38FD">
              <w:t xml:space="preserve">notice before the </w:t>
            </w:r>
            <w:r w:rsidR="00C25C31">
              <w:t xml:space="preserve">transfer of </w:t>
            </w:r>
            <w:r w:rsidR="00B45CDE">
              <w:t xml:space="preserve">the </w:t>
            </w:r>
            <w:r w:rsidR="006F38FD">
              <w:t>person while committed</w:t>
            </w:r>
            <w:r w:rsidR="002C0B68">
              <w:t>,</w:t>
            </w:r>
            <w:r w:rsidR="006F38FD">
              <w:t xml:space="preserve"> </w:t>
            </w:r>
            <w:r w:rsidR="001724C3">
              <w:t>and</w:t>
            </w:r>
            <w:r w:rsidR="008B7309">
              <w:t xml:space="preserve"> the committed person's inability to provide</w:t>
            </w:r>
            <w:r w:rsidR="001724C3">
              <w:t xml:space="preserve"> </w:t>
            </w:r>
            <w:r w:rsidR="006F38FD">
              <w:t xml:space="preserve">notice </w:t>
            </w:r>
            <w:r w:rsidR="008B7309">
              <w:t>in</w:t>
            </w:r>
            <w:r w:rsidR="00321412">
              <w:t xml:space="preserve"> </w:t>
            </w:r>
            <w:r w:rsidR="008B7309">
              <w:t xml:space="preserve">person </w:t>
            </w:r>
            <w:r w:rsidR="006F38FD">
              <w:t xml:space="preserve">to law enforcement </w:t>
            </w:r>
            <w:r w:rsidR="00C06219">
              <w:t>regarding</w:t>
            </w:r>
            <w:r w:rsidR="006F38FD">
              <w:t xml:space="preserve"> the person's change in address </w:t>
            </w:r>
            <w:r w:rsidR="008B7309">
              <w:t>while residing in a civil commitment center</w:t>
            </w:r>
            <w:r w:rsidR="006F38FD">
              <w:t>. In addition</w:t>
            </w:r>
            <w:r w:rsidR="00C06219">
              <w:t>,</w:t>
            </w:r>
            <w:r w:rsidR="006F38FD">
              <w:t xml:space="preserve"> there have been issues regarding the right to </w:t>
            </w:r>
            <w:r w:rsidR="00905E7C">
              <w:t xml:space="preserve">a </w:t>
            </w:r>
            <w:r w:rsidR="006F38FD">
              <w:t xml:space="preserve">hearing </w:t>
            </w:r>
            <w:r w:rsidR="008B7309">
              <w:t xml:space="preserve">to review </w:t>
            </w:r>
            <w:r w:rsidR="00905E7C">
              <w:t>the transfer</w:t>
            </w:r>
            <w:r w:rsidR="002363F4">
              <w:t xml:space="preserve"> of </w:t>
            </w:r>
            <w:r w:rsidR="00905E7C">
              <w:t xml:space="preserve">a </w:t>
            </w:r>
            <w:r w:rsidR="002363F4">
              <w:t xml:space="preserve">person </w:t>
            </w:r>
            <w:r w:rsidR="008B7309">
              <w:t xml:space="preserve">to a more restrictive setting </w:t>
            </w:r>
            <w:r w:rsidR="002363F4">
              <w:t xml:space="preserve">while committed and the </w:t>
            </w:r>
            <w:r w:rsidR="008B7309">
              <w:t xml:space="preserve">requirement </w:t>
            </w:r>
            <w:r w:rsidR="007103E2">
              <w:t>that</w:t>
            </w:r>
            <w:r w:rsidR="008B7309">
              <w:t xml:space="preserve"> a </w:t>
            </w:r>
            <w:r w:rsidR="002363F4">
              <w:t xml:space="preserve">person </w:t>
            </w:r>
            <w:r w:rsidR="008B7309">
              <w:t xml:space="preserve">provide records related to </w:t>
            </w:r>
            <w:r w:rsidR="002363F4">
              <w:t xml:space="preserve">reimbursement to the state for costs associated with </w:t>
            </w:r>
            <w:r>
              <w:t>the person's</w:t>
            </w:r>
            <w:r w:rsidR="002363F4">
              <w:t xml:space="preserve"> </w:t>
            </w:r>
            <w:r w:rsidR="008B7309">
              <w:t>housing, treatment, and GPS tracking</w:t>
            </w:r>
            <w:r w:rsidR="002363F4">
              <w:t>. C.S.</w:t>
            </w:r>
            <w:r w:rsidR="005874B5">
              <w:t>S</w:t>
            </w:r>
            <w:r w:rsidR="002363F4">
              <w:t>.B. </w:t>
            </w:r>
            <w:r w:rsidR="005874B5">
              <w:t xml:space="preserve">906 </w:t>
            </w:r>
            <w:r w:rsidR="002363F4">
              <w:t>seeks to address these issues.</w:t>
            </w:r>
          </w:p>
          <w:p w14:paraId="6916D336" w14:textId="5EAAFFB6" w:rsidR="008423E4" w:rsidRPr="00B57409" w:rsidRDefault="00D464EC" w:rsidP="003338EE">
            <w:pPr>
              <w:pStyle w:val="Header"/>
              <w:jc w:val="both"/>
            </w:pPr>
            <w:r>
              <w:t xml:space="preserve"> </w:t>
            </w:r>
            <w:r w:rsidR="006F38FD">
              <w:t xml:space="preserve"> </w:t>
            </w:r>
            <w:r w:rsidR="008D51D3">
              <w:t xml:space="preserve"> </w:t>
            </w:r>
          </w:p>
        </w:tc>
      </w:tr>
      <w:tr w:rsidR="00C07925" w14:paraId="7FD7E140" w14:textId="77777777" w:rsidTr="00A97D72">
        <w:tc>
          <w:tcPr>
            <w:tcW w:w="9360" w:type="dxa"/>
          </w:tcPr>
          <w:p w14:paraId="5BE13C3F" w14:textId="77777777" w:rsidR="0017725B" w:rsidRDefault="00D464EC" w:rsidP="003338EE">
            <w:pPr>
              <w:rPr>
                <w:b/>
                <w:u w:val="single"/>
              </w:rPr>
            </w:pPr>
            <w:r>
              <w:rPr>
                <w:b/>
                <w:u w:val="single"/>
              </w:rPr>
              <w:t>CRIMINAL JUSTICE IMPACT</w:t>
            </w:r>
          </w:p>
          <w:p w14:paraId="6AD11E24" w14:textId="77777777" w:rsidR="0017725B" w:rsidRDefault="0017725B" w:rsidP="003338EE">
            <w:pPr>
              <w:rPr>
                <w:b/>
                <w:u w:val="single"/>
              </w:rPr>
            </w:pPr>
          </w:p>
          <w:p w14:paraId="737E4270" w14:textId="77777777" w:rsidR="0081231A" w:rsidRPr="0081231A" w:rsidRDefault="00D464EC" w:rsidP="003338EE">
            <w:pPr>
              <w:jc w:val="both"/>
            </w:pPr>
            <w:r>
              <w:t>It is the committee's opinion that this bill does n</w:t>
            </w:r>
            <w:r>
              <w:t>ot expressly create a criminal offense, increase the punishment for an existing criminal offense or category of offenses, or change the eligibility of a person for community supervision, parole, or mandatory supervision.</w:t>
            </w:r>
          </w:p>
          <w:p w14:paraId="4DC7AA2A" w14:textId="77777777" w:rsidR="0017725B" w:rsidRPr="0017725B" w:rsidRDefault="0017725B" w:rsidP="003338EE">
            <w:pPr>
              <w:rPr>
                <w:b/>
                <w:u w:val="single"/>
              </w:rPr>
            </w:pPr>
          </w:p>
        </w:tc>
      </w:tr>
      <w:tr w:rsidR="00C07925" w14:paraId="22CEA031" w14:textId="77777777" w:rsidTr="00A97D72">
        <w:tc>
          <w:tcPr>
            <w:tcW w:w="9360" w:type="dxa"/>
          </w:tcPr>
          <w:p w14:paraId="17E945D8" w14:textId="77777777" w:rsidR="008423E4" w:rsidRPr="00A8133F" w:rsidRDefault="00D464EC" w:rsidP="003338EE">
            <w:pPr>
              <w:rPr>
                <w:b/>
              </w:rPr>
            </w:pPr>
            <w:r w:rsidRPr="009C1E9A">
              <w:rPr>
                <w:b/>
                <w:u w:val="single"/>
              </w:rPr>
              <w:t>RULEMAKING AUTHORITY</w:t>
            </w:r>
            <w:r>
              <w:rPr>
                <w:b/>
              </w:rPr>
              <w:t xml:space="preserve"> </w:t>
            </w:r>
          </w:p>
          <w:p w14:paraId="6B293107" w14:textId="77777777" w:rsidR="008423E4" w:rsidRDefault="008423E4" w:rsidP="003338EE"/>
          <w:p w14:paraId="264AD746" w14:textId="77777777" w:rsidR="0081231A" w:rsidRDefault="00D464EC" w:rsidP="003338EE">
            <w:pPr>
              <w:pStyle w:val="Header"/>
              <w:tabs>
                <w:tab w:val="clear" w:pos="4320"/>
                <w:tab w:val="clear" w:pos="8640"/>
              </w:tabs>
              <w:jc w:val="both"/>
            </w:pPr>
            <w:r>
              <w:t xml:space="preserve">It is the </w:t>
            </w:r>
            <w:r>
              <w:t>committee's opinion that this bill does not expressly grant any additional rulemaking authority to a state officer, department, agency, or institution.</w:t>
            </w:r>
          </w:p>
          <w:p w14:paraId="20316A7A" w14:textId="77777777" w:rsidR="008423E4" w:rsidRPr="00E21FDC" w:rsidRDefault="008423E4" w:rsidP="003338EE">
            <w:pPr>
              <w:rPr>
                <w:b/>
              </w:rPr>
            </w:pPr>
          </w:p>
        </w:tc>
      </w:tr>
      <w:tr w:rsidR="00C07925" w14:paraId="4CC30E2F" w14:textId="77777777" w:rsidTr="00A97D72">
        <w:tc>
          <w:tcPr>
            <w:tcW w:w="9360" w:type="dxa"/>
          </w:tcPr>
          <w:p w14:paraId="6BE4316B" w14:textId="086B262C" w:rsidR="008423E4" w:rsidRDefault="00D464EC" w:rsidP="003338EE">
            <w:pPr>
              <w:rPr>
                <w:b/>
              </w:rPr>
            </w:pPr>
            <w:r w:rsidRPr="009C1E9A">
              <w:rPr>
                <w:b/>
                <w:u w:val="single"/>
              </w:rPr>
              <w:t>ANALYSIS</w:t>
            </w:r>
            <w:r>
              <w:rPr>
                <w:b/>
              </w:rPr>
              <w:t xml:space="preserve"> </w:t>
            </w:r>
          </w:p>
          <w:p w14:paraId="11A42D3F" w14:textId="77777777" w:rsidR="003338EE" w:rsidRPr="0081231A" w:rsidRDefault="003338EE" w:rsidP="003338EE">
            <w:pPr>
              <w:rPr>
                <w:b/>
              </w:rPr>
            </w:pPr>
          </w:p>
          <w:p w14:paraId="20DCE838" w14:textId="1A0A37EA" w:rsidR="00E9017E" w:rsidRDefault="00D464EC" w:rsidP="003338EE">
            <w:pPr>
              <w:pStyle w:val="Header"/>
              <w:tabs>
                <w:tab w:val="clear" w:pos="4320"/>
                <w:tab w:val="clear" w:pos="8640"/>
              </w:tabs>
              <w:jc w:val="both"/>
            </w:pPr>
            <w:r>
              <w:t>C.S.S.B. 906</w:t>
            </w:r>
            <w:r w:rsidR="00792BAC">
              <w:t xml:space="preserve"> </w:t>
            </w:r>
            <w:r w:rsidR="00BB253A">
              <w:t xml:space="preserve">amends the Health and </w:t>
            </w:r>
            <w:r w:rsidR="002E392E">
              <w:t>Safety</w:t>
            </w:r>
            <w:r w:rsidR="00BB253A">
              <w:t xml:space="preserve"> Code </w:t>
            </w:r>
            <w:r w:rsidR="00254EF3">
              <w:t xml:space="preserve">to </w:t>
            </w:r>
            <w:r w:rsidR="00224895">
              <w:t xml:space="preserve">specify that </w:t>
            </w:r>
            <w:r>
              <w:t xml:space="preserve">the </w:t>
            </w:r>
            <w:r w:rsidR="00254EF3">
              <w:t>court</w:t>
            </w:r>
            <w:r>
              <w:t xml:space="preserve"> in which the state's attorney must file a petition </w:t>
            </w:r>
            <w:r w:rsidR="009A626A">
              <w:t>alleg</w:t>
            </w:r>
            <w:r w:rsidR="00A37455">
              <w:t>ing that</w:t>
            </w:r>
            <w:r>
              <w:t xml:space="preserve"> a person is a sexually violent predator </w:t>
            </w:r>
            <w:r w:rsidR="00224895">
              <w:t>is</w:t>
            </w:r>
            <w:r w:rsidR="009A626A">
              <w:t xml:space="preserve"> </w:t>
            </w:r>
            <w:r w:rsidR="009A626A" w:rsidRPr="009A626A">
              <w:t xml:space="preserve">a district court in the county of the person's most recent conviction for </w:t>
            </w:r>
            <w:r w:rsidR="008B7309">
              <w:t>a sexually violent</w:t>
            </w:r>
            <w:r w:rsidR="009A626A" w:rsidRPr="009A626A">
              <w:t xml:space="preserve"> offense</w:t>
            </w:r>
            <w:r w:rsidR="00224895">
              <w:t xml:space="preserve"> and that, in filing the petition, </w:t>
            </w:r>
            <w:r w:rsidR="00A37455">
              <w:t>the state's attorney must give preference to filing the petition in the applicable court of conviction.</w:t>
            </w:r>
            <w:r w:rsidR="009A626A">
              <w:t xml:space="preserve"> </w:t>
            </w:r>
          </w:p>
          <w:p w14:paraId="7AE619C3" w14:textId="3FE91026" w:rsidR="009A626A" w:rsidRDefault="009A626A" w:rsidP="003338EE">
            <w:pPr>
              <w:pStyle w:val="Header"/>
              <w:tabs>
                <w:tab w:val="clear" w:pos="4320"/>
                <w:tab w:val="clear" w:pos="8640"/>
              </w:tabs>
              <w:jc w:val="both"/>
            </w:pPr>
          </w:p>
          <w:p w14:paraId="6E361C1F" w14:textId="1CE91368" w:rsidR="00692D55" w:rsidRDefault="00D464EC" w:rsidP="003338EE">
            <w:pPr>
              <w:pStyle w:val="Header"/>
              <w:tabs>
                <w:tab w:val="clear" w:pos="4320"/>
                <w:tab w:val="clear" w:pos="8640"/>
              </w:tabs>
              <w:jc w:val="both"/>
            </w:pPr>
            <w:r>
              <w:t>C.S.S.B. 906</w:t>
            </w:r>
            <w:r w:rsidR="009A626A">
              <w:t xml:space="preserve"> authorizes a judge to delay </w:t>
            </w:r>
            <w:r w:rsidR="00A37455">
              <w:t xml:space="preserve">or continue </w:t>
            </w:r>
            <w:r w:rsidR="009A626A" w:rsidRPr="009A626A">
              <w:t xml:space="preserve">a trial to determine whether </w:t>
            </w:r>
            <w:r w:rsidR="009A626A">
              <w:t>a</w:t>
            </w:r>
            <w:r w:rsidR="009A626A" w:rsidRPr="009A626A">
              <w:t xml:space="preserve"> person is a sexually violent predator</w:t>
            </w:r>
            <w:r w:rsidR="009A626A">
              <w:t xml:space="preserve"> </w:t>
            </w:r>
            <w:r w:rsidR="00A42C44">
              <w:t>after the person's sentence discharge date</w:t>
            </w:r>
            <w:r w:rsidR="00FE69A4">
              <w:t xml:space="preserve"> </w:t>
            </w:r>
            <w:r w:rsidR="009A626A">
              <w:t xml:space="preserve">if the judge determines that </w:t>
            </w:r>
            <w:r w:rsidR="00A42C44">
              <w:t>it</w:t>
            </w:r>
            <w:r w:rsidR="009A626A" w:rsidRPr="009A626A">
              <w:t xml:space="preserve"> is necessary in the due administration of justice.</w:t>
            </w:r>
            <w:r w:rsidR="009A626A">
              <w:t xml:space="preserve"> </w:t>
            </w:r>
          </w:p>
          <w:p w14:paraId="18E66611" w14:textId="77777777" w:rsidR="00692D55" w:rsidRDefault="00692D55" w:rsidP="003338EE">
            <w:pPr>
              <w:pStyle w:val="Header"/>
              <w:tabs>
                <w:tab w:val="clear" w:pos="4320"/>
                <w:tab w:val="clear" w:pos="8640"/>
              </w:tabs>
              <w:jc w:val="both"/>
            </w:pPr>
          </w:p>
          <w:p w14:paraId="65FCA6F4" w14:textId="349A2B50" w:rsidR="00692D55" w:rsidRDefault="00D464EC" w:rsidP="003338EE">
            <w:pPr>
              <w:pStyle w:val="Header"/>
              <w:tabs>
                <w:tab w:val="clear" w:pos="4320"/>
                <w:tab w:val="clear" w:pos="8640"/>
              </w:tabs>
              <w:jc w:val="both"/>
            </w:pPr>
            <w:r>
              <w:t>C.S.S.B. 906, with respect to the expert examinations to which a person and the state are each entitled before the trial and which may be required of the person for pur</w:t>
            </w:r>
            <w:r>
              <w:t xml:space="preserve">poses of the state's preparation for the trial, </w:t>
            </w:r>
            <w:r w:rsidR="009A626A">
              <w:t xml:space="preserve">changes </w:t>
            </w:r>
            <w:r>
              <w:t>the examination to an expert clinical interview</w:t>
            </w:r>
            <w:r w:rsidR="00641E34">
              <w:t>.</w:t>
            </w:r>
            <w:r w:rsidR="00E347D5">
              <w:t xml:space="preserve"> </w:t>
            </w:r>
          </w:p>
          <w:p w14:paraId="1F5B93CF" w14:textId="77777777" w:rsidR="00692D55" w:rsidRDefault="00692D55" w:rsidP="003338EE">
            <w:pPr>
              <w:pStyle w:val="Header"/>
              <w:tabs>
                <w:tab w:val="clear" w:pos="4320"/>
                <w:tab w:val="clear" w:pos="8640"/>
              </w:tabs>
              <w:jc w:val="both"/>
            </w:pPr>
          </w:p>
          <w:p w14:paraId="68C70BD5" w14:textId="197C6E30" w:rsidR="00641E34" w:rsidRDefault="00D464EC" w:rsidP="003338EE">
            <w:pPr>
              <w:pStyle w:val="Header"/>
              <w:tabs>
                <w:tab w:val="clear" w:pos="4320"/>
                <w:tab w:val="clear" w:pos="8640"/>
              </w:tabs>
              <w:jc w:val="both"/>
            </w:pPr>
            <w:r>
              <w:t>C.S.S.B. 906</w:t>
            </w:r>
            <w:r w:rsidR="00692D55">
              <w:t xml:space="preserve"> </w:t>
            </w:r>
            <w:r>
              <w:t>authorizes a person to do the following:</w:t>
            </w:r>
          </w:p>
          <w:p w14:paraId="5CCF3174" w14:textId="1C90A84F" w:rsidR="00641E34" w:rsidRDefault="00D464EC" w:rsidP="003338EE">
            <w:pPr>
              <w:pStyle w:val="Header"/>
              <w:numPr>
                <w:ilvl w:val="0"/>
                <w:numId w:val="3"/>
              </w:numPr>
              <w:tabs>
                <w:tab w:val="clear" w:pos="4320"/>
                <w:tab w:val="clear" w:pos="8640"/>
              </w:tabs>
              <w:jc w:val="both"/>
            </w:pPr>
            <w:r w:rsidRPr="00F05921">
              <w:t xml:space="preserve">waive </w:t>
            </w:r>
            <w:r w:rsidR="007613D3">
              <w:t>the</w:t>
            </w:r>
            <w:r>
              <w:t xml:space="preserve"> person's right</w:t>
            </w:r>
            <w:r w:rsidRPr="00F05921">
              <w:t xml:space="preserve"> to appear at the trial and appear through </w:t>
            </w:r>
            <w:r>
              <w:t xml:space="preserve">the person's </w:t>
            </w:r>
            <w:r w:rsidRPr="00F05921">
              <w:t>attorney</w:t>
            </w:r>
            <w:r>
              <w:t xml:space="preserve">; and </w:t>
            </w:r>
            <w:r w:rsidRPr="00F05921">
              <w:t xml:space="preserve"> </w:t>
            </w:r>
          </w:p>
          <w:p w14:paraId="3E11F38D" w14:textId="4DB2BB7B" w:rsidR="00692D55" w:rsidRDefault="00D464EC" w:rsidP="003338EE">
            <w:pPr>
              <w:pStyle w:val="Header"/>
              <w:numPr>
                <w:ilvl w:val="0"/>
                <w:numId w:val="3"/>
              </w:numPr>
              <w:tabs>
                <w:tab w:val="clear" w:pos="4320"/>
                <w:tab w:val="clear" w:pos="8640"/>
              </w:tabs>
              <w:jc w:val="both"/>
            </w:pPr>
            <w:r w:rsidRPr="00F05921">
              <w:t>appear at the trial through the use of remote technology</w:t>
            </w:r>
            <w:r>
              <w:t>.</w:t>
            </w:r>
            <w:r w:rsidR="007613D3">
              <w:t xml:space="preserve"> </w:t>
            </w:r>
          </w:p>
          <w:p w14:paraId="52BEB429" w14:textId="77777777" w:rsidR="00692D55" w:rsidRDefault="00692D55" w:rsidP="003338EE">
            <w:pPr>
              <w:pStyle w:val="Header"/>
              <w:tabs>
                <w:tab w:val="clear" w:pos="4320"/>
                <w:tab w:val="clear" w:pos="8640"/>
              </w:tabs>
              <w:jc w:val="both"/>
            </w:pPr>
          </w:p>
          <w:p w14:paraId="1C670DF9" w14:textId="559BDDE9" w:rsidR="007613D3" w:rsidRDefault="00D464EC" w:rsidP="003338EE">
            <w:pPr>
              <w:pStyle w:val="Header"/>
              <w:tabs>
                <w:tab w:val="clear" w:pos="4320"/>
                <w:tab w:val="clear" w:pos="8640"/>
              </w:tabs>
              <w:jc w:val="both"/>
            </w:pPr>
            <w:r>
              <w:t>C.S.S.B. 906</w:t>
            </w:r>
            <w:r w:rsidR="00692D55">
              <w:t xml:space="preserve"> </w:t>
            </w:r>
            <w:r>
              <w:t xml:space="preserve">entitles </w:t>
            </w:r>
            <w:r w:rsidR="00E91523" w:rsidRPr="00E91523">
              <w:t>the state or the person</w:t>
            </w:r>
            <w:r w:rsidR="00FE69A4">
              <w:t xml:space="preserve"> </w:t>
            </w:r>
            <w:r w:rsidR="00E91523" w:rsidRPr="00E91523">
              <w:t>to a retrial</w:t>
            </w:r>
            <w:r w:rsidR="00E91523">
              <w:t xml:space="preserve"> after an appeal</w:t>
            </w:r>
            <w:r w:rsidR="00E91523" w:rsidRPr="00E91523">
              <w:t xml:space="preserve"> if an appellate court remands the case to the trial court for a new trial.</w:t>
            </w:r>
            <w:r w:rsidR="00FE69A4">
              <w:t xml:space="preserve"> The bill requires the judge to</w:t>
            </w:r>
            <w:r w:rsidR="00FE69A4" w:rsidRPr="00FE69A4">
              <w:t xml:space="preserve"> commence </w:t>
            </w:r>
            <w:r w:rsidR="00FE69A4">
              <w:t>a</w:t>
            </w:r>
            <w:r w:rsidR="00FE69A4" w:rsidRPr="00FE69A4">
              <w:t xml:space="preserve"> retrial not later than the 90th day after the date the appellate court remanded the case</w:t>
            </w:r>
            <w:r w:rsidR="00F60E1F">
              <w:t xml:space="preserve"> and establishes that the retrial may be continued by a judge who determines that it is necessary in the due administration of justice.</w:t>
            </w:r>
          </w:p>
          <w:p w14:paraId="38E2AA93" w14:textId="77777777" w:rsidR="007613D3" w:rsidRDefault="007613D3" w:rsidP="003338EE">
            <w:pPr>
              <w:pStyle w:val="Header"/>
              <w:tabs>
                <w:tab w:val="clear" w:pos="4320"/>
                <w:tab w:val="clear" w:pos="8640"/>
              </w:tabs>
              <w:jc w:val="both"/>
            </w:pPr>
          </w:p>
          <w:p w14:paraId="28F9AA56" w14:textId="579D0F81" w:rsidR="002505AD" w:rsidRDefault="00D464EC" w:rsidP="003338EE">
            <w:pPr>
              <w:pStyle w:val="Header"/>
              <w:tabs>
                <w:tab w:val="clear" w:pos="4320"/>
                <w:tab w:val="clear" w:pos="8640"/>
              </w:tabs>
              <w:jc w:val="both"/>
            </w:pPr>
            <w:r>
              <w:t>C.S.S.B. 906</w:t>
            </w:r>
            <w:r w:rsidR="007613D3">
              <w:t xml:space="preserve"> </w:t>
            </w:r>
            <w:r w:rsidR="006222AA">
              <w:t xml:space="preserve">replaces </w:t>
            </w:r>
            <w:r w:rsidR="00380D8C">
              <w:t xml:space="preserve">provisions subjecting the number and selection of jurors in a civil commitment trial to requirements under the Code of Criminal Procedure </w:t>
            </w:r>
            <w:r w:rsidR="006222AA">
              <w:t xml:space="preserve">with the </w:t>
            </w:r>
            <w:r>
              <w:t xml:space="preserve">following </w:t>
            </w:r>
            <w:r w:rsidR="006222AA">
              <w:t xml:space="preserve">provisions </w:t>
            </w:r>
            <w:r>
              <w:t xml:space="preserve">with regard to </w:t>
            </w:r>
            <w:r w:rsidR="00380D8C">
              <w:t>such a</w:t>
            </w:r>
            <w:r>
              <w:t xml:space="preserve"> trial:</w:t>
            </w:r>
          </w:p>
          <w:p w14:paraId="6D4F62CC" w14:textId="77777777" w:rsidR="002505AD" w:rsidRDefault="00D464EC" w:rsidP="003338EE">
            <w:pPr>
              <w:pStyle w:val="Header"/>
              <w:numPr>
                <w:ilvl w:val="0"/>
                <w:numId w:val="1"/>
              </w:numPr>
              <w:tabs>
                <w:tab w:val="clear" w:pos="4320"/>
                <w:tab w:val="clear" w:pos="8640"/>
              </w:tabs>
              <w:jc w:val="both"/>
            </w:pPr>
            <w:r>
              <w:t>the</w:t>
            </w:r>
            <w:r w:rsidRPr="002505AD">
              <w:t xml:space="preserve"> jury </w:t>
            </w:r>
            <w:r>
              <w:t>must</w:t>
            </w:r>
            <w:r w:rsidRPr="002505AD">
              <w:t xml:space="preserve"> </w:t>
            </w:r>
            <w:r>
              <w:t>consist of 12 qualified jurors;</w:t>
            </w:r>
          </w:p>
          <w:p w14:paraId="615C7F79" w14:textId="7DD1DAB4" w:rsidR="002505AD" w:rsidRDefault="00D464EC" w:rsidP="003338EE">
            <w:pPr>
              <w:pStyle w:val="Header"/>
              <w:numPr>
                <w:ilvl w:val="0"/>
                <w:numId w:val="1"/>
              </w:numPr>
              <w:tabs>
                <w:tab w:val="clear" w:pos="4320"/>
                <w:tab w:val="clear" w:pos="8640"/>
              </w:tabs>
              <w:jc w:val="both"/>
            </w:pPr>
            <w:r>
              <w:t xml:space="preserve">the </w:t>
            </w:r>
            <w:r w:rsidRPr="002505AD">
              <w:t>judge may</w:t>
            </w:r>
            <w:r w:rsidRPr="002505AD">
              <w:t xml:space="preserve"> direct that not more than four jurors in addition to the regular jury be called and impaneled to sit as alternate jurors</w:t>
            </w:r>
            <w:r>
              <w:t>; and</w:t>
            </w:r>
          </w:p>
          <w:p w14:paraId="36710443" w14:textId="3A92E24D" w:rsidR="002505AD" w:rsidRDefault="00D464EC" w:rsidP="003338EE">
            <w:pPr>
              <w:pStyle w:val="Header"/>
              <w:numPr>
                <w:ilvl w:val="0"/>
                <w:numId w:val="1"/>
              </w:numPr>
              <w:tabs>
                <w:tab w:val="clear" w:pos="4320"/>
                <w:tab w:val="clear" w:pos="8640"/>
              </w:tabs>
              <w:jc w:val="both"/>
            </w:pPr>
            <w:r>
              <w:t xml:space="preserve">each </w:t>
            </w:r>
            <w:r w:rsidRPr="002505AD">
              <w:t xml:space="preserve">party </w:t>
            </w:r>
            <w:r w:rsidR="00C06219">
              <w:t xml:space="preserve">to the case </w:t>
            </w:r>
            <w:r w:rsidRPr="002505AD">
              <w:t xml:space="preserve">is entitled to 10 </w:t>
            </w:r>
            <w:r w:rsidRPr="00D92568">
              <w:t>peremptory</w:t>
            </w:r>
            <w:r w:rsidRPr="002505AD">
              <w:t xml:space="preserve"> challenges to the 12 qualified jurors and one peremptory challenge to the qua</w:t>
            </w:r>
            <w:r w:rsidRPr="002505AD">
              <w:t>lified alternate jurors</w:t>
            </w:r>
            <w:r>
              <w:t>.</w:t>
            </w:r>
          </w:p>
          <w:p w14:paraId="7922FED2" w14:textId="1A6AE8D5" w:rsidR="00E91523" w:rsidRDefault="00D464EC" w:rsidP="003338EE">
            <w:pPr>
              <w:pStyle w:val="Header"/>
              <w:tabs>
                <w:tab w:val="clear" w:pos="4320"/>
                <w:tab w:val="clear" w:pos="8640"/>
              </w:tabs>
              <w:jc w:val="both"/>
            </w:pPr>
            <w:r>
              <w:t xml:space="preserve">The bill </w:t>
            </w:r>
            <w:r w:rsidR="00F2723F">
              <w:t xml:space="preserve">provides procedures for a jury determination in </w:t>
            </w:r>
            <w:r>
              <w:t xml:space="preserve">such a </w:t>
            </w:r>
            <w:r w:rsidR="00F2723F">
              <w:t xml:space="preserve">case </w:t>
            </w:r>
            <w:r w:rsidR="00224895">
              <w:t xml:space="preserve">if there are </w:t>
            </w:r>
            <w:r w:rsidR="00F2723F">
              <w:t xml:space="preserve">fewer than 12 jurors </w:t>
            </w:r>
            <w:r w:rsidR="00224895">
              <w:t>and there are no alternate jurors</w:t>
            </w:r>
            <w:r w:rsidR="00F2723F">
              <w:t xml:space="preserve">.    </w:t>
            </w:r>
          </w:p>
          <w:p w14:paraId="49ACF62B" w14:textId="77777777" w:rsidR="00254EF3" w:rsidRDefault="00254EF3" w:rsidP="003338EE">
            <w:pPr>
              <w:pStyle w:val="Header"/>
              <w:tabs>
                <w:tab w:val="clear" w:pos="4320"/>
                <w:tab w:val="clear" w:pos="8640"/>
              </w:tabs>
              <w:jc w:val="both"/>
            </w:pPr>
          </w:p>
          <w:p w14:paraId="24D50285" w14:textId="0CF58DCC" w:rsidR="008C1038" w:rsidRDefault="00D464EC" w:rsidP="003338EE">
            <w:pPr>
              <w:pStyle w:val="Header"/>
              <w:tabs>
                <w:tab w:val="clear" w:pos="4320"/>
                <w:tab w:val="clear" w:pos="8640"/>
              </w:tabs>
              <w:jc w:val="both"/>
            </w:pPr>
            <w:r>
              <w:t>C.S.S.B. 906</w:t>
            </w:r>
            <w:r w:rsidR="00254EF3">
              <w:t xml:space="preserve"> </w:t>
            </w:r>
            <w:r w:rsidR="00C25C31">
              <w:t xml:space="preserve">requires a </w:t>
            </w:r>
            <w:r w:rsidR="00183613">
              <w:t xml:space="preserve">civilly </w:t>
            </w:r>
            <w:r w:rsidR="00C25C31">
              <w:t>committed person who file</w:t>
            </w:r>
            <w:r>
              <w:t>s</w:t>
            </w:r>
            <w:r w:rsidR="00C25C31">
              <w:t xml:space="preserve"> a petition for transfer to less restrictive housing and supervision to serve a copy of the petition on the Texas Civil Commitment Office. The bill</w:t>
            </w:r>
            <w:r w:rsidR="00387AEF">
              <w:t xml:space="preserve"> </w:t>
            </w:r>
            <w:r w:rsidR="009869EF">
              <w:t xml:space="preserve">provides </w:t>
            </w:r>
            <w:r w:rsidR="00C65E86">
              <w:t xml:space="preserve">a </w:t>
            </w:r>
            <w:r>
              <w:t>committed person</w:t>
            </w:r>
            <w:r w:rsidR="00C65E86">
              <w:t xml:space="preserve"> with the right to an automatic hearing </w:t>
            </w:r>
            <w:r w:rsidR="009869EF">
              <w:t>by</w:t>
            </w:r>
            <w:r w:rsidR="00387AEF">
              <w:t xml:space="preserve"> requir</w:t>
            </w:r>
            <w:r w:rsidR="009869EF">
              <w:t>ing</w:t>
            </w:r>
            <w:r w:rsidR="00387AEF">
              <w:t xml:space="preserve"> a</w:t>
            </w:r>
            <w:r w:rsidR="00254EF3">
              <w:t xml:space="preserve"> court, n</w:t>
            </w:r>
            <w:r w:rsidR="00254EF3" w:rsidRPr="00792BAC">
              <w:t xml:space="preserve">ot later than the 90th day after the date </w:t>
            </w:r>
            <w:r w:rsidR="00C65E86">
              <w:t>the</w:t>
            </w:r>
            <w:r w:rsidR="00254EF3" w:rsidRPr="00792BAC">
              <w:t xml:space="preserve"> </w:t>
            </w:r>
            <w:r w:rsidR="00C25C31">
              <w:t xml:space="preserve">committed </w:t>
            </w:r>
            <w:r w:rsidR="00254EF3">
              <w:t xml:space="preserve">person </w:t>
            </w:r>
            <w:r w:rsidR="00254EF3" w:rsidRPr="00792BAC">
              <w:t xml:space="preserve">is returned to a more restrictive </w:t>
            </w:r>
            <w:r w:rsidR="00387AEF">
              <w:t xml:space="preserve">setting, </w:t>
            </w:r>
            <w:r w:rsidR="00254EF3">
              <w:t xml:space="preserve">to </w:t>
            </w:r>
            <w:r w:rsidR="00254EF3" w:rsidRPr="00792BAC">
              <w:t xml:space="preserve">hold a hearing </w:t>
            </w:r>
            <w:r w:rsidR="00254EF3">
              <w:t xml:space="preserve">through </w:t>
            </w:r>
            <w:r w:rsidR="00254EF3" w:rsidRPr="00792BAC">
              <w:t>videoconference to</w:t>
            </w:r>
            <w:r w:rsidR="00254EF3">
              <w:t xml:space="preserve"> </w:t>
            </w:r>
            <w:r w:rsidR="00254EF3" w:rsidRPr="00792BAC">
              <w:t xml:space="preserve">review </w:t>
            </w:r>
            <w:r w:rsidR="00254EF3">
              <w:t xml:space="preserve">the </w:t>
            </w:r>
            <w:r w:rsidR="00254EF3" w:rsidRPr="00792BAC">
              <w:t>determination.</w:t>
            </w:r>
            <w:r w:rsidR="00254EF3">
              <w:t xml:space="preserve"> </w:t>
            </w:r>
            <w:r w:rsidR="00387AEF" w:rsidRPr="003B5274">
              <w:t xml:space="preserve">The </w:t>
            </w:r>
            <w:r w:rsidR="00387AEF">
              <w:t xml:space="preserve">bill authorizes the </w:t>
            </w:r>
            <w:r w:rsidR="00387AEF" w:rsidRPr="003B5274">
              <w:t xml:space="preserve">committed person </w:t>
            </w:r>
            <w:r w:rsidR="00387AEF">
              <w:t>to waive the right to such a hearing.</w:t>
            </w:r>
          </w:p>
          <w:p w14:paraId="3AC7BF2D" w14:textId="77777777" w:rsidR="008C1038" w:rsidRDefault="008C1038" w:rsidP="003338EE">
            <w:pPr>
              <w:pStyle w:val="Header"/>
              <w:tabs>
                <w:tab w:val="clear" w:pos="4320"/>
                <w:tab w:val="clear" w:pos="8640"/>
              </w:tabs>
              <w:jc w:val="both"/>
            </w:pPr>
          </w:p>
          <w:p w14:paraId="56EA3112" w14:textId="3009DA48" w:rsidR="002E392E" w:rsidRDefault="00D464EC" w:rsidP="003338EE">
            <w:pPr>
              <w:pStyle w:val="Header"/>
              <w:tabs>
                <w:tab w:val="clear" w:pos="4320"/>
                <w:tab w:val="clear" w:pos="8640"/>
              </w:tabs>
              <w:jc w:val="both"/>
            </w:pPr>
            <w:r>
              <w:t>C.S.S.B. 906</w:t>
            </w:r>
            <w:r w:rsidR="00387AEF">
              <w:t xml:space="preserve"> </w:t>
            </w:r>
            <w:r w:rsidR="003154B4">
              <w:t xml:space="preserve">sets an evidentiary standard for a court order </w:t>
            </w:r>
            <w:r w:rsidR="00A5426A">
              <w:t>transferring</w:t>
            </w:r>
            <w:r w:rsidR="003154B4">
              <w:t xml:space="preserve"> a </w:t>
            </w:r>
            <w:r w:rsidR="00183613">
              <w:t xml:space="preserve">civilly committed </w:t>
            </w:r>
            <w:r w:rsidR="003154B4">
              <w:t>person to less restrictive housing and supervision. Such a transfer</w:t>
            </w:r>
            <w:r w:rsidR="00A5426A">
              <w:t xml:space="preserve"> may be ordered only if the court determines by clear and convincing evidence </w:t>
            </w:r>
            <w:r w:rsidR="00254EF3" w:rsidRPr="003B5274">
              <w:t xml:space="preserve">that the office's determination was not made in accordance with </w:t>
            </w:r>
            <w:r w:rsidR="00387AEF">
              <w:t xml:space="preserve">the applicable </w:t>
            </w:r>
            <w:r w:rsidR="00254EF3">
              <w:t>statutory requirements</w:t>
            </w:r>
            <w:r w:rsidR="00254EF3" w:rsidRPr="003B5274">
              <w:t>.</w:t>
            </w:r>
            <w:r w:rsidR="00254EF3">
              <w:t xml:space="preserve"> </w:t>
            </w:r>
          </w:p>
          <w:p w14:paraId="44BBA2C2" w14:textId="77777777" w:rsidR="00254EF3" w:rsidRDefault="00254EF3" w:rsidP="003338EE">
            <w:pPr>
              <w:pStyle w:val="Header"/>
              <w:tabs>
                <w:tab w:val="clear" w:pos="4320"/>
                <w:tab w:val="clear" w:pos="8640"/>
              </w:tabs>
              <w:jc w:val="both"/>
            </w:pPr>
          </w:p>
          <w:p w14:paraId="1E56EC2B" w14:textId="186FEBE6" w:rsidR="00A5426A" w:rsidRDefault="00D464EC" w:rsidP="003338EE">
            <w:pPr>
              <w:pStyle w:val="Header"/>
              <w:tabs>
                <w:tab w:val="clear" w:pos="4320"/>
                <w:tab w:val="clear" w:pos="8640"/>
              </w:tabs>
              <w:jc w:val="both"/>
            </w:pPr>
            <w:r>
              <w:t>C.S.S.B. 906</w:t>
            </w:r>
            <w:r w:rsidR="002E392E">
              <w:t xml:space="preserve"> authorizes the office to issue </w:t>
            </w:r>
            <w:r w:rsidR="002E392E" w:rsidRPr="002E392E">
              <w:t>an</w:t>
            </w:r>
            <w:r w:rsidR="002E392E">
              <w:t xml:space="preserve"> emergency detention order for </w:t>
            </w:r>
            <w:r w:rsidR="002E392E" w:rsidRPr="002E392E">
              <w:t xml:space="preserve">a recently </w:t>
            </w:r>
            <w:r w:rsidR="00183613">
              <w:t xml:space="preserve">civilly </w:t>
            </w:r>
            <w:r w:rsidR="002E392E" w:rsidRPr="002E392E">
              <w:t xml:space="preserve">committed person who is not in the custody of the Texas Department of Criminal Justice at the time </w:t>
            </w:r>
            <w:r w:rsidR="002E392E">
              <w:t xml:space="preserve">the commitment order is entered for the purposes of bringing that person under the </w:t>
            </w:r>
            <w:r w:rsidR="005E111A">
              <w:t>supervision</w:t>
            </w:r>
            <w:r w:rsidR="002E392E">
              <w:t xml:space="preserve"> of the office. </w:t>
            </w:r>
          </w:p>
          <w:p w14:paraId="1CECB6E3" w14:textId="77777777" w:rsidR="00A5426A" w:rsidRDefault="00A5426A" w:rsidP="003338EE">
            <w:pPr>
              <w:pStyle w:val="Header"/>
              <w:tabs>
                <w:tab w:val="clear" w:pos="4320"/>
                <w:tab w:val="clear" w:pos="8640"/>
              </w:tabs>
              <w:jc w:val="both"/>
            </w:pPr>
          </w:p>
          <w:p w14:paraId="20B64BE3" w14:textId="18B98F47" w:rsidR="00A5426A" w:rsidRDefault="00D464EC" w:rsidP="003338EE">
            <w:pPr>
              <w:pStyle w:val="Header"/>
              <w:tabs>
                <w:tab w:val="clear" w:pos="4320"/>
                <w:tab w:val="clear" w:pos="8640"/>
              </w:tabs>
              <w:jc w:val="both"/>
            </w:pPr>
            <w:r>
              <w:t xml:space="preserve">C.S.S.B. 906 </w:t>
            </w:r>
            <w:r w:rsidR="005E111A">
              <w:t xml:space="preserve">requires a </w:t>
            </w:r>
            <w:r w:rsidR="00183613">
              <w:t xml:space="preserve">civilly </w:t>
            </w:r>
            <w:r w:rsidR="005E111A" w:rsidRPr="005E111A">
              <w:t xml:space="preserve">committed person, on request, </w:t>
            </w:r>
            <w:r w:rsidR="005E111A">
              <w:t>to</w:t>
            </w:r>
            <w:r w:rsidR="005E111A" w:rsidRPr="005E111A">
              <w:t xml:space="preserve"> provide to the office any financial records or other information regarding the person's income, assets, and expenses to assist the office in determining whether the person is indigent for purposes of </w:t>
            </w:r>
            <w:r w:rsidR="005E111A">
              <w:t xml:space="preserve">the payment of costs associated with the person's civil commitment. </w:t>
            </w:r>
          </w:p>
          <w:p w14:paraId="37C68A3F" w14:textId="7A6CB1E4" w:rsidR="00A5426A" w:rsidRDefault="00A5426A" w:rsidP="003338EE">
            <w:pPr>
              <w:pStyle w:val="Header"/>
              <w:tabs>
                <w:tab w:val="clear" w:pos="4320"/>
                <w:tab w:val="clear" w:pos="8640"/>
              </w:tabs>
              <w:jc w:val="both"/>
            </w:pPr>
          </w:p>
          <w:p w14:paraId="716957CD" w14:textId="21BA5D87" w:rsidR="002E392E" w:rsidRDefault="00D464EC" w:rsidP="003338EE">
            <w:pPr>
              <w:pStyle w:val="Header"/>
              <w:tabs>
                <w:tab w:val="clear" w:pos="4320"/>
                <w:tab w:val="clear" w:pos="8640"/>
              </w:tabs>
              <w:jc w:val="both"/>
            </w:pPr>
            <w:r>
              <w:t>C.S.S.B. 906</w:t>
            </w:r>
            <w:r w:rsidR="00A5426A">
              <w:t xml:space="preserve"> </w:t>
            </w:r>
            <w:r w:rsidR="002E505E">
              <w:t xml:space="preserve">excludes </w:t>
            </w:r>
            <w:r w:rsidR="00BB2DDF" w:rsidRPr="00BB2DDF">
              <w:t>a person who</w:t>
            </w:r>
            <w:r w:rsidR="00B45CDE">
              <w:t>se immediate release is ordered by a</w:t>
            </w:r>
            <w:r w:rsidR="00BB2DDF" w:rsidRPr="00BB2DDF">
              <w:t xml:space="preserve"> court from a correctional facility, secure correctional facility, or secure detention facility</w:t>
            </w:r>
            <w:r w:rsidR="002E505E">
              <w:t xml:space="preserve"> from</w:t>
            </w:r>
            <w:r w:rsidR="00183613">
              <w:t xml:space="preserve"> the</w:t>
            </w:r>
            <w:r w:rsidR="002E505E">
              <w:t xml:space="preserve"> </w:t>
            </w:r>
            <w:r w:rsidR="00BB62E6">
              <w:t xml:space="preserve">notice requirements </w:t>
            </w:r>
            <w:r w:rsidR="00183613">
              <w:t>otherwise applicable to such a facility when it releases a civilly committed person</w:t>
            </w:r>
            <w:r w:rsidR="00BB2DDF" w:rsidRPr="00BB2DDF">
              <w:t>.</w:t>
            </w:r>
          </w:p>
          <w:p w14:paraId="715A52A0" w14:textId="6543A824" w:rsidR="002E392E" w:rsidRDefault="002E392E" w:rsidP="003338EE">
            <w:pPr>
              <w:pStyle w:val="Header"/>
              <w:tabs>
                <w:tab w:val="clear" w:pos="4320"/>
                <w:tab w:val="clear" w:pos="8640"/>
              </w:tabs>
              <w:jc w:val="both"/>
            </w:pPr>
          </w:p>
          <w:p w14:paraId="6F966689" w14:textId="51191BF3" w:rsidR="00395946" w:rsidRDefault="00D464EC" w:rsidP="003338EE">
            <w:pPr>
              <w:pStyle w:val="Header"/>
              <w:tabs>
                <w:tab w:val="clear" w:pos="4320"/>
                <w:tab w:val="clear" w:pos="8640"/>
              </w:tabs>
              <w:jc w:val="both"/>
            </w:pPr>
            <w:r>
              <w:t>C.S.S.B. 906 amends the Cod</w:t>
            </w:r>
            <w:r>
              <w:t>e of Criminal Procedure to require the</w:t>
            </w:r>
            <w:r w:rsidRPr="005F5260">
              <w:t xml:space="preserve"> Texas Civil Commitment Office </w:t>
            </w:r>
            <w:r>
              <w:t>to</w:t>
            </w:r>
            <w:r w:rsidRPr="005F5260">
              <w:t xml:space="preserve"> report a change in address to each local law enforcement authority serving as the current or proposed primary registration authority for a person </w:t>
            </w:r>
            <w:r>
              <w:t xml:space="preserve">who is </w:t>
            </w:r>
            <w:r w:rsidRPr="00BB253A">
              <w:t>civilly committed</w:t>
            </w:r>
            <w:r>
              <w:t xml:space="preserve"> as a sexually</w:t>
            </w:r>
            <w:r>
              <w:t xml:space="preserve"> violent predator</w:t>
            </w:r>
            <w:r w:rsidRPr="00BB253A">
              <w:t xml:space="preserve"> and required </w:t>
            </w:r>
            <w:r>
              <w:t>to register as a sex offender and reside in a location other than a civil commitment center.</w:t>
            </w:r>
          </w:p>
          <w:p w14:paraId="7A5C197B" w14:textId="77777777" w:rsidR="00395946" w:rsidRDefault="00395946" w:rsidP="003338EE">
            <w:pPr>
              <w:pStyle w:val="Header"/>
              <w:tabs>
                <w:tab w:val="clear" w:pos="4320"/>
                <w:tab w:val="clear" w:pos="8640"/>
              </w:tabs>
              <w:jc w:val="both"/>
            </w:pPr>
          </w:p>
          <w:p w14:paraId="244B4362" w14:textId="27E4E9DD" w:rsidR="008423E4" w:rsidRDefault="00D464EC" w:rsidP="003338EE">
            <w:pPr>
              <w:pStyle w:val="Header"/>
              <w:tabs>
                <w:tab w:val="clear" w:pos="4320"/>
                <w:tab w:val="clear" w:pos="8640"/>
              </w:tabs>
              <w:jc w:val="both"/>
            </w:pPr>
            <w:r>
              <w:t>C.S.S.B. 906</w:t>
            </w:r>
            <w:r w:rsidR="00BB2DDF">
              <w:t xml:space="preserve"> repeals </w:t>
            </w:r>
            <w:r w:rsidR="00BB2DDF" w:rsidRPr="00BB2DDF">
              <w:t>Section 841.0834(e), Health and Safety Code</w:t>
            </w:r>
            <w:r w:rsidR="00BB2DDF">
              <w:t>.</w:t>
            </w:r>
          </w:p>
          <w:p w14:paraId="3120A768" w14:textId="08970298" w:rsidR="004E7CFE" w:rsidRPr="00BB2DDF" w:rsidRDefault="004E7CFE" w:rsidP="003338EE">
            <w:pPr>
              <w:pStyle w:val="Header"/>
              <w:tabs>
                <w:tab w:val="clear" w:pos="4320"/>
                <w:tab w:val="clear" w:pos="8640"/>
              </w:tabs>
              <w:jc w:val="both"/>
            </w:pPr>
          </w:p>
        </w:tc>
      </w:tr>
      <w:tr w:rsidR="00C07925" w14:paraId="0A6A3C21" w14:textId="77777777" w:rsidTr="00A97D72">
        <w:tc>
          <w:tcPr>
            <w:tcW w:w="9360" w:type="dxa"/>
          </w:tcPr>
          <w:p w14:paraId="7203ECE6" w14:textId="77777777" w:rsidR="008423E4" w:rsidRPr="00A8133F" w:rsidRDefault="00D464EC" w:rsidP="003338EE">
            <w:pPr>
              <w:rPr>
                <w:b/>
              </w:rPr>
            </w:pPr>
            <w:r w:rsidRPr="009C1E9A">
              <w:rPr>
                <w:b/>
                <w:u w:val="single"/>
              </w:rPr>
              <w:t>EFFECTIVE DATE</w:t>
            </w:r>
            <w:r>
              <w:rPr>
                <w:b/>
              </w:rPr>
              <w:t xml:space="preserve"> </w:t>
            </w:r>
          </w:p>
          <w:p w14:paraId="1BA42CDE" w14:textId="77777777" w:rsidR="008423E4" w:rsidRDefault="008423E4" w:rsidP="003338EE"/>
          <w:p w14:paraId="667CC6F3" w14:textId="77777777" w:rsidR="008423E4" w:rsidRDefault="00D464EC" w:rsidP="003338EE">
            <w:pPr>
              <w:pStyle w:val="Header"/>
              <w:tabs>
                <w:tab w:val="clear" w:pos="4320"/>
                <w:tab w:val="clear" w:pos="8640"/>
              </w:tabs>
              <w:jc w:val="both"/>
            </w:pPr>
            <w:r>
              <w:t>September 1, 2021.</w:t>
            </w:r>
          </w:p>
          <w:p w14:paraId="0459F720" w14:textId="635C66FC" w:rsidR="003338EE" w:rsidRPr="0081231A" w:rsidRDefault="003338EE" w:rsidP="003338EE">
            <w:pPr>
              <w:pStyle w:val="Header"/>
              <w:tabs>
                <w:tab w:val="clear" w:pos="4320"/>
                <w:tab w:val="clear" w:pos="8640"/>
              </w:tabs>
              <w:jc w:val="both"/>
            </w:pPr>
          </w:p>
        </w:tc>
      </w:tr>
      <w:tr w:rsidR="00C07925" w14:paraId="2D29BA1B" w14:textId="77777777" w:rsidTr="00A97D72">
        <w:tc>
          <w:tcPr>
            <w:tcW w:w="9360" w:type="dxa"/>
          </w:tcPr>
          <w:p w14:paraId="08B2338F" w14:textId="77777777" w:rsidR="003F7E7C" w:rsidRDefault="00D464EC" w:rsidP="003F7E7C">
            <w:pPr>
              <w:jc w:val="both"/>
              <w:rPr>
                <w:b/>
                <w:u w:val="single"/>
              </w:rPr>
            </w:pPr>
            <w:r>
              <w:rPr>
                <w:b/>
                <w:u w:val="single"/>
              </w:rPr>
              <w:t xml:space="preserve">COMPARISON OF SENATE </w:t>
            </w:r>
            <w:r>
              <w:rPr>
                <w:b/>
                <w:u w:val="single"/>
              </w:rPr>
              <w:t>ENGROSSED AND SUBSTITUTE</w:t>
            </w:r>
          </w:p>
          <w:p w14:paraId="351EC045" w14:textId="77777777" w:rsidR="00842D79" w:rsidRDefault="00842D79" w:rsidP="003F7E7C">
            <w:pPr>
              <w:jc w:val="both"/>
            </w:pPr>
          </w:p>
          <w:p w14:paraId="090BCF36" w14:textId="6D28D869" w:rsidR="00842D79" w:rsidRDefault="00D464EC" w:rsidP="003F7E7C">
            <w:pPr>
              <w:jc w:val="both"/>
            </w:pPr>
            <w:r>
              <w:t>While C.S.S.B. 906 may differ from the engrossed in minor or nonsubstantive ways, the following summarizes the substantial differences between the engrossed and committee substitute versions of the bill.</w:t>
            </w:r>
          </w:p>
          <w:p w14:paraId="4C67B4D7" w14:textId="77777777" w:rsidR="00321412" w:rsidRDefault="00321412" w:rsidP="00321412">
            <w:pPr>
              <w:jc w:val="both"/>
            </w:pPr>
          </w:p>
          <w:p w14:paraId="7BB736F7" w14:textId="706777B1" w:rsidR="00321412" w:rsidRDefault="00D464EC" w:rsidP="00321412">
            <w:pPr>
              <w:jc w:val="both"/>
            </w:pPr>
            <w:r>
              <w:t>The substitute includes a</w:t>
            </w:r>
            <w:r>
              <w:t xml:space="preserve"> specification not included in the engrossed that the court in which a state's attorney </w:t>
            </w:r>
            <w:r w:rsidRPr="00E0609C">
              <w:t>must file a petition alleg</w:t>
            </w:r>
            <w:r>
              <w:t>ing that</w:t>
            </w:r>
            <w:r w:rsidRPr="00E0609C">
              <w:t xml:space="preserve"> a person is a sexually violent predator</w:t>
            </w:r>
            <w:r>
              <w:t xml:space="preserve"> is a district court in the county of the person's most recent violent offense.</w:t>
            </w:r>
          </w:p>
          <w:p w14:paraId="3EC4A23C" w14:textId="77777777" w:rsidR="00321412" w:rsidRDefault="00321412" w:rsidP="00321412">
            <w:pPr>
              <w:jc w:val="both"/>
            </w:pPr>
          </w:p>
          <w:p w14:paraId="18909F0E" w14:textId="77777777" w:rsidR="00321412" w:rsidRDefault="00D464EC" w:rsidP="00321412">
            <w:pPr>
              <w:jc w:val="both"/>
            </w:pPr>
            <w:r>
              <w:t>The substitut</w:t>
            </w:r>
            <w:r>
              <w:t>e includes the following provisions not included in the engrossed:</w:t>
            </w:r>
          </w:p>
          <w:p w14:paraId="7F32ABF5" w14:textId="77777777" w:rsidR="00321412" w:rsidRDefault="00D464EC" w:rsidP="00321412">
            <w:pPr>
              <w:pStyle w:val="ListParagraph"/>
              <w:numPr>
                <w:ilvl w:val="0"/>
                <w:numId w:val="2"/>
              </w:numPr>
              <w:contextualSpacing w:val="0"/>
              <w:jc w:val="both"/>
            </w:pPr>
            <w:r>
              <w:t xml:space="preserve">an authorization for a judge to delay or continue </w:t>
            </w:r>
            <w:r w:rsidRPr="00756800">
              <w:t>such a</w:t>
            </w:r>
            <w:r>
              <w:t xml:space="preserve"> trial if the judge determines it is necessary; </w:t>
            </w:r>
          </w:p>
          <w:p w14:paraId="55FBC7F8" w14:textId="77777777" w:rsidR="00321412" w:rsidRDefault="00D464EC" w:rsidP="00321412">
            <w:pPr>
              <w:pStyle w:val="ListParagraph"/>
              <w:numPr>
                <w:ilvl w:val="0"/>
                <w:numId w:val="2"/>
              </w:numPr>
              <w:contextualSpacing w:val="0"/>
              <w:jc w:val="both"/>
            </w:pPr>
            <w:r>
              <w:t>an authorization for a person</w:t>
            </w:r>
            <w:r>
              <w:t xml:space="preserve"> to appear at a trial through the use of remote technology or waive the right to appear at the trial and appear through their attorney; and</w:t>
            </w:r>
          </w:p>
          <w:p w14:paraId="37335993" w14:textId="77777777" w:rsidR="00321412" w:rsidRDefault="00D464EC" w:rsidP="00321412">
            <w:pPr>
              <w:pStyle w:val="ListParagraph"/>
              <w:numPr>
                <w:ilvl w:val="0"/>
                <w:numId w:val="2"/>
              </w:numPr>
              <w:contextualSpacing w:val="0"/>
              <w:jc w:val="both"/>
            </w:pPr>
            <w:r>
              <w:t xml:space="preserve">an entitlement of the state or a person to a retrial and related procedures if an appellate court remands a case to </w:t>
            </w:r>
            <w:r>
              <w:t>the trial court for a new trial.</w:t>
            </w:r>
          </w:p>
          <w:p w14:paraId="48002622" w14:textId="77777777" w:rsidR="00321412" w:rsidRDefault="00321412" w:rsidP="00321412">
            <w:pPr>
              <w:jc w:val="both"/>
            </w:pPr>
          </w:p>
          <w:p w14:paraId="6F1253E7" w14:textId="48C3B600" w:rsidR="00842D79" w:rsidRPr="00EE3BE0" w:rsidRDefault="00D464EC" w:rsidP="00321412">
            <w:pPr>
              <w:jc w:val="both"/>
            </w:pPr>
            <w:r>
              <w:t>The substitute includes a provision that is not in the engrossed replacing statutory provisions governing the number and selection of jurors in a civil commitment case with provisions relating to the number and selection o</w:t>
            </w:r>
            <w:r>
              <w:t>f jurors and the rendering of a verdict if there are fewer than the required number of jurors.</w:t>
            </w:r>
          </w:p>
        </w:tc>
      </w:tr>
      <w:tr w:rsidR="00C07925" w14:paraId="3315F2DB" w14:textId="77777777" w:rsidTr="00A97D72">
        <w:tc>
          <w:tcPr>
            <w:tcW w:w="9360" w:type="dxa"/>
          </w:tcPr>
          <w:p w14:paraId="6F0AAA57" w14:textId="77777777" w:rsidR="002D5158" w:rsidRDefault="002D5158" w:rsidP="002D5158">
            <w:pPr>
              <w:jc w:val="both"/>
            </w:pPr>
          </w:p>
          <w:p w14:paraId="4301B1FC" w14:textId="222489FF" w:rsidR="001C3A0A" w:rsidRDefault="001C3A0A" w:rsidP="00C30F69">
            <w:pPr>
              <w:jc w:val="both"/>
              <w:rPr>
                <w:b/>
                <w:u w:val="single"/>
              </w:rPr>
            </w:pPr>
          </w:p>
        </w:tc>
      </w:tr>
      <w:tr w:rsidR="00C07925" w14:paraId="2C76EF2A" w14:textId="77777777" w:rsidTr="00A97D72">
        <w:tc>
          <w:tcPr>
            <w:tcW w:w="9360" w:type="dxa"/>
          </w:tcPr>
          <w:p w14:paraId="20E92D2E" w14:textId="77777777" w:rsidR="003F7E7C" w:rsidRDefault="003F7E7C" w:rsidP="003338EE">
            <w:pPr>
              <w:jc w:val="both"/>
              <w:rPr>
                <w:b/>
                <w:u w:val="single"/>
              </w:rPr>
            </w:pPr>
          </w:p>
        </w:tc>
      </w:tr>
      <w:tr w:rsidR="00C07925" w14:paraId="41DFEAEE" w14:textId="77777777" w:rsidTr="00A97D72">
        <w:tc>
          <w:tcPr>
            <w:tcW w:w="9360" w:type="dxa"/>
          </w:tcPr>
          <w:p w14:paraId="5980EBB9" w14:textId="77777777" w:rsidR="003F7E7C" w:rsidRDefault="003F7E7C" w:rsidP="003338EE">
            <w:pPr>
              <w:jc w:val="both"/>
              <w:rPr>
                <w:b/>
                <w:u w:val="single"/>
              </w:rPr>
            </w:pPr>
          </w:p>
        </w:tc>
      </w:tr>
    </w:tbl>
    <w:p w14:paraId="289165A1" w14:textId="77777777" w:rsidR="008423E4" w:rsidRPr="00BE0E75" w:rsidRDefault="008423E4" w:rsidP="003338EE">
      <w:pPr>
        <w:jc w:val="both"/>
        <w:rPr>
          <w:rFonts w:ascii="Arial" w:hAnsi="Arial"/>
          <w:sz w:val="16"/>
          <w:szCs w:val="16"/>
        </w:rPr>
      </w:pPr>
    </w:p>
    <w:p w14:paraId="6CF48855" w14:textId="77777777" w:rsidR="004108C3" w:rsidRPr="008423E4" w:rsidRDefault="004108C3" w:rsidP="003338E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5291" w14:textId="77777777" w:rsidR="00000000" w:rsidRDefault="00D464EC">
      <w:r>
        <w:separator/>
      </w:r>
    </w:p>
  </w:endnote>
  <w:endnote w:type="continuationSeparator" w:id="0">
    <w:p w14:paraId="1C8DD16B" w14:textId="77777777" w:rsidR="00000000" w:rsidRDefault="00D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F2283"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C07925" w14:paraId="2E449F8E" w14:textId="77777777" w:rsidTr="009C1E9A">
      <w:trPr>
        <w:cantSplit/>
      </w:trPr>
      <w:tc>
        <w:tcPr>
          <w:tcW w:w="0" w:type="pct"/>
        </w:tcPr>
        <w:p w14:paraId="1A6C09CB" w14:textId="77777777" w:rsidR="00137D90" w:rsidRDefault="00137D90" w:rsidP="009C1E9A">
          <w:pPr>
            <w:pStyle w:val="Footer"/>
            <w:tabs>
              <w:tab w:val="clear" w:pos="8640"/>
              <w:tab w:val="right" w:pos="9360"/>
            </w:tabs>
          </w:pPr>
        </w:p>
      </w:tc>
      <w:tc>
        <w:tcPr>
          <w:tcW w:w="2395" w:type="pct"/>
        </w:tcPr>
        <w:p w14:paraId="3DC07934" w14:textId="77777777" w:rsidR="00137D90" w:rsidRDefault="00137D90" w:rsidP="009C1E9A">
          <w:pPr>
            <w:pStyle w:val="Footer"/>
            <w:tabs>
              <w:tab w:val="clear" w:pos="8640"/>
              <w:tab w:val="right" w:pos="9360"/>
            </w:tabs>
          </w:pPr>
        </w:p>
        <w:p w14:paraId="1BF68C2C" w14:textId="77777777" w:rsidR="001A4310" w:rsidRDefault="001A4310" w:rsidP="009C1E9A">
          <w:pPr>
            <w:pStyle w:val="Footer"/>
            <w:tabs>
              <w:tab w:val="clear" w:pos="8640"/>
              <w:tab w:val="right" w:pos="9360"/>
            </w:tabs>
          </w:pPr>
        </w:p>
        <w:p w14:paraId="5C6C2403" w14:textId="77777777" w:rsidR="00137D90" w:rsidRDefault="00137D90" w:rsidP="009C1E9A">
          <w:pPr>
            <w:pStyle w:val="Footer"/>
            <w:tabs>
              <w:tab w:val="clear" w:pos="8640"/>
              <w:tab w:val="right" w:pos="9360"/>
            </w:tabs>
          </w:pPr>
        </w:p>
      </w:tc>
      <w:tc>
        <w:tcPr>
          <w:tcW w:w="2453" w:type="pct"/>
        </w:tcPr>
        <w:p w14:paraId="3BAE717D" w14:textId="77777777" w:rsidR="00137D90" w:rsidRDefault="00137D90" w:rsidP="009C1E9A">
          <w:pPr>
            <w:pStyle w:val="Footer"/>
            <w:tabs>
              <w:tab w:val="clear" w:pos="8640"/>
              <w:tab w:val="right" w:pos="9360"/>
            </w:tabs>
            <w:jc w:val="right"/>
          </w:pPr>
        </w:p>
      </w:tc>
    </w:tr>
    <w:tr w:rsidR="00C07925" w14:paraId="7D063BA9" w14:textId="77777777" w:rsidTr="009C1E9A">
      <w:trPr>
        <w:cantSplit/>
      </w:trPr>
      <w:tc>
        <w:tcPr>
          <w:tcW w:w="0" w:type="pct"/>
        </w:tcPr>
        <w:p w14:paraId="19A9C795" w14:textId="77777777" w:rsidR="00EC379B" w:rsidRDefault="00EC379B" w:rsidP="009C1E9A">
          <w:pPr>
            <w:pStyle w:val="Footer"/>
            <w:tabs>
              <w:tab w:val="clear" w:pos="8640"/>
              <w:tab w:val="right" w:pos="9360"/>
            </w:tabs>
          </w:pPr>
        </w:p>
      </w:tc>
      <w:tc>
        <w:tcPr>
          <w:tcW w:w="2395" w:type="pct"/>
        </w:tcPr>
        <w:p w14:paraId="215A4D10" w14:textId="0AE977AB" w:rsidR="00EC379B" w:rsidRPr="009C1E9A" w:rsidRDefault="00D464EC" w:rsidP="009C1E9A">
          <w:pPr>
            <w:pStyle w:val="Footer"/>
            <w:tabs>
              <w:tab w:val="clear" w:pos="8640"/>
              <w:tab w:val="right" w:pos="9360"/>
            </w:tabs>
            <w:rPr>
              <w:rFonts w:ascii="Shruti" w:hAnsi="Shruti"/>
              <w:sz w:val="22"/>
            </w:rPr>
          </w:pPr>
          <w:r>
            <w:rPr>
              <w:rFonts w:ascii="Shruti" w:hAnsi="Shruti"/>
              <w:sz w:val="22"/>
            </w:rPr>
            <w:t>87R 22932</w:t>
          </w:r>
        </w:p>
      </w:tc>
      <w:tc>
        <w:tcPr>
          <w:tcW w:w="2453" w:type="pct"/>
        </w:tcPr>
        <w:p w14:paraId="204B1F8E" w14:textId="541CCD79" w:rsidR="00EC379B" w:rsidRDefault="00D464EC" w:rsidP="009C1E9A">
          <w:pPr>
            <w:pStyle w:val="Footer"/>
            <w:tabs>
              <w:tab w:val="clear" w:pos="8640"/>
              <w:tab w:val="right" w:pos="9360"/>
            </w:tabs>
            <w:jc w:val="right"/>
          </w:pPr>
          <w:r>
            <w:fldChar w:fldCharType="begin"/>
          </w:r>
          <w:r>
            <w:instrText xml:space="preserve"> DOCPROPERTY  OTID  \* MERGEFORMAT </w:instrText>
          </w:r>
          <w:r>
            <w:fldChar w:fldCharType="separate"/>
          </w:r>
          <w:r w:rsidR="00EA623C">
            <w:t>21.117.414</w:t>
          </w:r>
          <w:r>
            <w:fldChar w:fldCharType="end"/>
          </w:r>
        </w:p>
      </w:tc>
    </w:tr>
    <w:tr w:rsidR="00C07925" w14:paraId="58B0B6FA" w14:textId="77777777" w:rsidTr="009C1E9A">
      <w:trPr>
        <w:cantSplit/>
      </w:trPr>
      <w:tc>
        <w:tcPr>
          <w:tcW w:w="0" w:type="pct"/>
        </w:tcPr>
        <w:p w14:paraId="732BC19F" w14:textId="77777777" w:rsidR="00EC379B" w:rsidRDefault="00EC379B" w:rsidP="009C1E9A">
          <w:pPr>
            <w:pStyle w:val="Footer"/>
            <w:tabs>
              <w:tab w:val="clear" w:pos="4320"/>
              <w:tab w:val="clear" w:pos="8640"/>
              <w:tab w:val="left" w:pos="2865"/>
            </w:tabs>
          </w:pPr>
        </w:p>
      </w:tc>
      <w:tc>
        <w:tcPr>
          <w:tcW w:w="2395" w:type="pct"/>
        </w:tcPr>
        <w:p w14:paraId="70AFDB15" w14:textId="62A93C7D" w:rsidR="00EC379B" w:rsidRPr="009C1E9A" w:rsidRDefault="00D464EC" w:rsidP="009C1E9A">
          <w:pPr>
            <w:pStyle w:val="Footer"/>
            <w:tabs>
              <w:tab w:val="clear" w:pos="4320"/>
              <w:tab w:val="clear" w:pos="8640"/>
              <w:tab w:val="left" w:pos="2865"/>
            </w:tabs>
            <w:rPr>
              <w:rFonts w:ascii="Shruti" w:hAnsi="Shruti"/>
              <w:sz w:val="22"/>
            </w:rPr>
          </w:pPr>
          <w:r>
            <w:rPr>
              <w:rFonts w:ascii="Shruti" w:hAnsi="Shruti"/>
              <w:sz w:val="22"/>
            </w:rPr>
            <w:t>Substitute</w:t>
          </w:r>
          <w:r>
            <w:rPr>
              <w:rFonts w:ascii="Shruti" w:hAnsi="Shruti"/>
              <w:sz w:val="22"/>
            </w:rPr>
            <w:t xml:space="preserve"> Document Number: 87R 18263</w:t>
          </w:r>
        </w:p>
      </w:tc>
      <w:tc>
        <w:tcPr>
          <w:tcW w:w="2453" w:type="pct"/>
        </w:tcPr>
        <w:p w14:paraId="2574AB3E" w14:textId="77777777" w:rsidR="00EC379B" w:rsidRDefault="00EC379B" w:rsidP="006D504F">
          <w:pPr>
            <w:pStyle w:val="Footer"/>
            <w:rPr>
              <w:rStyle w:val="PageNumber"/>
            </w:rPr>
          </w:pPr>
        </w:p>
        <w:p w14:paraId="07DA31AF" w14:textId="77777777" w:rsidR="00EC379B" w:rsidRDefault="00EC379B" w:rsidP="009C1E9A">
          <w:pPr>
            <w:pStyle w:val="Footer"/>
            <w:tabs>
              <w:tab w:val="clear" w:pos="8640"/>
              <w:tab w:val="right" w:pos="9360"/>
            </w:tabs>
            <w:jc w:val="right"/>
          </w:pPr>
        </w:p>
      </w:tc>
    </w:tr>
    <w:tr w:rsidR="00C07925" w14:paraId="10792D8B" w14:textId="77777777" w:rsidTr="009C1E9A">
      <w:trPr>
        <w:cantSplit/>
        <w:trHeight w:val="323"/>
      </w:trPr>
      <w:tc>
        <w:tcPr>
          <w:tcW w:w="0" w:type="pct"/>
          <w:gridSpan w:val="3"/>
        </w:tcPr>
        <w:p w14:paraId="0E687BB3" w14:textId="4460C5B7" w:rsidR="00EC379B" w:rsidRDefault="00D464E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A623C">
            <w:rPr>
              <w:rStyle w:val="PageNumber"/>
              <w:noProof/>
            </w:rPr>
            <w:t>2</w:t>
          </w:r>
          <w:r>
            <w:rPr>
              <w:rStyle w:val="PageNumber"/>
            </w:rPr>
            <w:fldChar w:fldCharType="end"/>
          </w:r>
        </w:p>
        <w:p w14:paraId="595E4490" w14:textId="77777777" w:rsidR="00EC379B" w:rsidRDefault="00EC379B" w:rsidP="009C1E9A">
          <w:pPr>
            <w:pStyle w:val="Footer"/>
            <w:tabs>
              <w:tab w:val="clear" w:pos="8640"/>
              <w:tab w:val="right" w:pos="9360"/>
            </w:tabs>
            <w:jc w:val="center"/>
          </w:pPr>
        </w:p>
      </w:tc>
    </w:tr>
  </w:tbl>
  <w:p w14:paraId="13D4F02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EF0E4"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A0B4" w14:textId="77777777" w:rsidR="00000000" w:rsidRDefault="00D464EC">
      <w:r>
        <w:separator/>
      </w:r>
    </w:p>
  </w:footnote>
  <w:footnote w:type="continuationSeparator" w:id="0">
    <w:p w14:paraId="5FE2971B" w14:textId="77777777" w:rsidR="00000000" w:rsidRDefault="00D4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AB159"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99A4"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DFD2F"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559"/>
    <w:multiLevelType w:val="hybridMultilevel"/>
    <w:tmpl w:val="77C2F088"/>
    <w:lvl w:ilvl="0" w:tplc="8EA2563E">
      <w:start w:val="1"/>
      <w:numFmt w:val="bullet"/>
      <w:lvlText w:val=""/>
      <w:lvlJc w:val="left"/>
      <w:pPr>
        <w:tabs>
          <w:tab w:val="num" w:pos="720"/>
        </w:tabs>
        <w:ind w:left="720" w:hanging="360"/>
      </w:pPr>
      <w:rPr>
        <w:rFonts w:ascii="Symbol" w:hAnsi="Symbol" w:hint="default"/>
      </w:rPr>
    </w:lvl>
    <w:lvl w:ilvl="1" w:tplc="239C5E88" w:tentative="1">
      <w:start w:val="1"/>
      <w:numFmt w:val="bullet"/>
      <w:lvlText w:val="o"/>
      <w:lvlJc w:val="left"/>
      <w:pPr>
        <w:ind w:left="1440" w:hanging="360"/>
      </w:pPr>
      <w:rPr>
        <w:rFonts w:ascii="Courier New" w:hAnsi="Courier New" w:cs="Courier New" w:hint="default"/>
      </w:rPr>
    </w:lvl>
    <w:lvl w:ilvl="2" w:tplc="0BCA8B1E" w:tentative="1">
      <w:start w:val="1"/>
      <w:numFmt w:val="bullet"/>
      <w:lvlText w:val=""/>
      <w:lvlJc w:val="left"/>
      <w:pPr>
        <w:ind w:left="2160" w:hanging="360"/>
      </w:pPr>
      <w:rPr>
        <w:rFonts w:ascii="Wingdings" w:hAnsi="Wingdings" w:hint="default"/>
      </w:rPr>
    </w:lvl>
    <w:lvl w:ilvl="3" w:tplc="A844A6AC" w:tentative="1">
      <w:start w:val="1"/>
      <w:numFmt w:val="bullet"/>
      <w:lvlText w:val=""/>
      <w:lvlJc w:val="left"/>
      <w:pPr>
        <w:ind w:left="2880" w:hanging="360"/>
      </w:pPr>
      <w:rPr>
        <w:rFonts w:ascii="Symbol" w:hAnsi="Symbol" w:hint="default"/>
      </w:rPr>
    </w:lvl>
    <w:lvl w:ilvl="4" w:tplc="C4D83398" w:tentative="1">
      <w:start w:val="1"/>
      <w:numFmt w:val="bullet"/>
      <w:lvlText w:val="o"/>
      <w:lvlJc w:val="left"/>
      <w:pPr>
        <w:ind w:left="3600" w:hanging="360"/>
      </w:pPr>
      <w:rPr>
        <w:rFonts w:ascii="Courier New" w:hAnsi="Courier New" w:cs="Courier New" w:hint="default"/>
      </w:rPr>
    </w:lvl>
    <w:lvl w:ilvl="5" w:tplc="9F843188" w:tentative="1">
      <w:start w:val="1"/>
      <w:numFmt w:val="bullet"/>
      <w:lvlText w:val=""/>
      <w:lvlJc w:val="left"/>
      <w:pPr>
        <w:ind w:left="4320" w:hanging="360"/>
      </w:pPr>
      <w:rPr>
        <w:rFonts w:ascii="Wingdings" w:hAnsi="Wingdings" w:hint="default"/>
      </w:rPr>
    </w:lvl>
    <w:lvl w:ilvl="6" w:tplc="A900116E" w:tentative="1">
      <w:start w:val="1"/>
      <w:numFmt w:val="bullet"/>
      <w:lvlText w:val=""/>
      <w:lvlJc w:val="left"/>
      <w:pPr>
        <w:ind w:left="5040" w:hanging="360"/>
      </w:pPr>
      <w:rPr>
        <w:rFonts w:ascii="Symbol" w:hAnsi="Symbol" w:hint="default"/>
      </w:rPr>
    </w:lvl>
    <w:lvl w:ilvl="7" w:tplc="241CA35C" w:tentative="1">
      <w:start w:val="1"/>
      <w:numFmt w:val="bullet"/>
      <w:lvlText w:val="o"/>
      <w:lvlJc w:val="left"/>
      <w:pPr>
        <w:ind w:left="5760" w:hanging="360"/>
      </w:pPr>
      <w:rPr>
        <w:rFonts w:ascii="Courier New" w:hAnsi="Courier New" w:cs="Courier New" w:hint="default"/>
      </w:rPr>
    </w:lvl>
    <w:lvl w:ilvl="8" w:tplc="7A906D2A" w:tentative="1">
      <w:start w:val="1"/>
      <w:numFmt w:val="bullet"/>
      <w:lvlText w:val=""/>
      <w:lvlJc w:val="left"/>
      <w:pPr>
        <w:ind w:left="6480" w:hanging="360"/>
      </w:pPr>
      <w:rPr>
        <w:rFonts w:ascii="Wingdings" w:hAnsi="Wingdings" w:hint="default"/>
      </w:rPr>
    </w:lvl>
  </w:abstractNum>
  <w:abstractNum w:abstractNumId="1" w15:restartNumberingAfterBreak="0">
    <w:nsid w:val="4FB50BAE"/>
    <w:multiLevelType w:val="hybridMultilevel"/>
    <w:tmpl w:val="A42818BE"/>
    <w:lvl w:ilvl="0" w:tplc="57666688">
      <w:start w:val="1"/>
      <w:numFmt w:val="bullet"/>
      <w:lvlText w:val=""/>
      <w:lvlJc w:val="left"/>
      <w:pPr>
        <w:tabs>
          <w:tab w:val="num" w:pos="720"/>
        </w:tabs>
        <w:ind w:left="720" w:hanging="360"/>
      </w:pPr>
      <w:rPr>
        <w:rFonts w:ascii="Symbol" w:hAnsi="Symbol" w:hint="default"/>
      </w:rPr>
    </w:lvl>
    <w:lvl w:ilvl="1" w:tplc="D050452C" w:tentative="1">
      <w:start w:val="1"/>
      <w:numFmt w:val="bullet"/>
      <w:lvlText w:val="o"/>
      <w:lvlJc w:val="left"/>
      <w:pPr>
        <w:ind w:left="1440" w:hanging="360"/>
      </w:pPr>
      <w:rPr>
        <w:rFonts w:ascii="Courier New" w:hAnsi="Courier New" w:cs="Courier New" w:hint="default"/>
      </w:rPr>
    </w:lvl>
    <w:lvl w:ilvl="2" w:tplc="025E3894" w:tentative="1">
      <w:start w:val="1"/>
      <w:numFmt w:val="bullet"/>
      <w:lvlText w:val=""/>
      <w:lvlJc w:val="left"/>
      <w:pPr>
        <w:ind w:left="2160" w:hanging="360"/>
      </w:pPr>
      <w:rPr>
        <w:rFonts w:ascii="Wingdings" w:hAnsi="Wingdings" w:hint="default"/>
      </w:rPr>
    </w:lvl>
    <w:lvl w:ilvl="3" w:tplc="13005030" w:tentative="1">
      <w:start w:val="1"/>
      <w:numFmt w:val="bullet"/>
      <w:lvlText w:val=""/>
      <w:lvlJc w:val="left"/>
      <w:pPr>
        <w:ind w:left="2880" w:hanging="360"/>
      </w:pPr>
      <w:rPr>
        <w:rFonts w:ascii="Symbol" w:hAnsi="Symbol" w:hint="default"/>
      </w:rPr>
    </w:lvl>
    <w:lvl w:ilvl="4" w:tplc="9C923124" w:tentative="1">
      <w:start w:val="1"/>
      <w:numFmt w:val="bullet"/>
      <w:lvlText w:val="o"/>
      <w:lvlJc w:val="left"/>
      <w:pPr>
        <w:ind w:left="3600" w:hanging="360"/>
      </w:pPr>
      <w:rPr>
        <w:rFonts w:ascii="Courier New" w:hAnsi="Courier New" w:cs="Courier New" w:hint="default"/>
      </w:rPr>
    </w:lvl>
    <w:lvl w:ilvl="5" w:tplc="A0686096" w:tentative="1">
      <w:start w:val="1"/>
      <w:numFmt w:val="bullet"/>
      <w:lvlText w:val=""/>
      <w:lvlJc w:val="left"/>
      <w:pPr>
        <w:ind w:left="4320" w:hanging="360"/>
      </w:pPr>
      <w:rPr>
        <w:rFonts w:ascii="Wingdings" w:hAnsi="Wingdings" w:hint="default"/>
      </w:rPr>
    </w:lvl>
    <w:lvl w:ilvl="6" w:tplc="C07AA756" w:tentative="1">
      <w:start w:val="1"/>
      <w:numFmt w:val="bullet"/>
      <w:lvlText w:val=""/>
      <w:lvlJc w:val="left"/>
      <w:pPr>
        <w:ind w:left="5040" w:hanging="360"/>
      </w:pPr>
      <w:rPr>
        <w:rFonts w:ascii="Symbol" w:hAnsi="Symbol" w:hint="default"/>
      </w:rPr>
    </w:lvl>
    <w:lvl w:ilvl="7" w:tplc="113EF9B6" w:tentative="1">
      <w:start w:val="1"/>
      <w:numFmt w:val="bullet"/>
      <w:lvlText w:val="o"/>
      <w:lvlJc w:val="left"/>
      <w:pPr>
        <w:ind w:left="5760" w:hanging="360"/>
      </w:pPr>
      <w:rPr>
        <w:rFonts w:ascii="Courier New" w:hAnsi="Courier New" w:cs="Courier New" w:hint="default"/>
      </w:rPr>
    </w:lvl>
    <w:lvl w:ilvl="8" w:tplc="421A41A8" w:tentative="1">
      <w:start w:val="1"/>
      <w:numFmt w:val="bullet"/>
      <w:lvlText w:val=""/>
      <w:lvlJc w:val="left"/>
      <w:pPr>
        <w:ind w:left="6480" w:hanging="360"/>
      </w:pPr>
      <w:rPr>
        <w:rFonts w:ascii="Wingdings" w:hAnsi="Wingdings" w:hint="default"/>
      </w:rPr>
    </w:lvl>
  </w:abstractNum>
  <w:abstractNum w:abstractNumId="2" w15:restartNumberingAfterBreak="0">
    <w:nsid w:val="62BC1877"/>
    <w:multiLevelType w:val="hybridMultilevel"/>
    <w:tmpl w:val="7D20C620"/>
    <w:lvl w:ilvl="0" w:tplc="10FC1232">
      <w:start w:val="1"/>
      <w:numFmt w:val="bullet"/>
      <w:lvlText w:val=""/>
      <w:lvlJc w:val="left"/>
      <w:pPr>
        <w:tabs>
          <w:tab w:val="num" w:pos="720"/>
        </w:tabs>
        <w:ind w:left="720" w:hanging="360"/>
      </w:pPr>
      <w:rPr>
        <w:rFonts w:ascii="Symbol" w:hAnsi="Symbol" w:hint="default"/>
      </w:rPr>
    </w:lvl>
    <w:lvl w:ilvl="1" w:tplc="864C8CBE" w:tentative="1">
      <w:start w:val="1"/>
      <w:numFmt w:val="bullet"/>
      <w:lvlText w:val="o"/>
      <w:lvlJc w:val="left"/>
      <w:pPr>
        <w:ind w:left="1440" w:hanging="360"/>
      </w:pPr>
      <w:rPr>
        <w:rFonts w:ascii="Courier New" w:hAnsi="Courier New" w:cs="Courier New" w:hint="default"/>
      </w:rPr>
    </w:lvl>
    <w:lvl w:ilvl="2" w:tplc="FED01070" w:tentative="1">
      <w:start w:val="1"/>
      <w:numFmt w:val="bullet"/>
      <w:lvlText w:val=""/>
      <w:lvlJc w:val="left"/>
      <w:pPr>
        <w:ind w:left="2160" w:hanging="360"/>
      </w:pPr>
      <w:rPr>
        <w:rFonts w:ascii="Wingdings" w:hAnsi="Wingdings" w:hint="default"/>
      </w:rPr>
    </w:lvl>
    <w:lvl w:ilvl="3" w:tplc="FC3887B6" w:tentative="1">
      <w:start w:val="1"/>
      <w:numFmt w:val="bullet"/>
      <w:lvlText w:val=""/>
      <w:lvlJc w:val="left"/>
      <w:pPr>
        <w:ind w:left="2880" w:hanging="360"/>
      </w:pPr>
      <w:rPr>
        <w:rFonts w:ascii="Symbol" w:hAnsi="Symbol" w:hint="default"/>
      </w:rPr>
    </w:lvl>
    <w:lvl w:ilvl="4" w:tplc="E808F77E" w:tentative="1">
      <w:start w:val="1"/>
      <w:numFmt w:val="bullet"/>
      <w:lvlText w:val="o"/>
      <w:lvlJc w:val="left"/>
      <w:pPr>
        <w:ind w:left="3600" w:hanging="360"/>
      </w:pPr>
      <w:rPr>
        <w:rFonts w:ascii="Courier New" w:hAnsi="Courier New" w:cs="Courier New" w:hint="default"/>
      </w:rPr>
    </w:lvl>
    <w:lvl w:ilvl="5" w:tplc="456EFB30" w:tentative="1">
      <w:start w:val="1"/>
      <w:numFmt w:val="bullet"/>
      <w:lvlText w:val=""/>
      <w:lvlJc w:val="left"/>
      <w:pPr>
        <w:ind w:left="4320" w:hanging="360"/>
      </w:pPr>
      <w:rPr>
        <w:rFonts w:ascii="Wingdings" w:hAnsi="Wingdings" w:hint="default"/>
      </w:rPr>
    </w:lvl>
    <w:lvl w:ilvl="6" w:tplc="0FD8212C" w:tentative="1">
      <w:start w:val="1"/>
      <w:numFmt w:val="bullet"/>
      <w:lvlText w:val=""/>
      <w:lvlJc w:val="left"/>
      <w:pPr>
        <w:ind w:left="5040" w:hanging="360"/>
      </w:pPr>
      <w:rPr>
        <w:rFonts w:ascii="Symbol" w:hAnsi="Symbol" w:hint="default"/>
      </w:rPr>
    </w:lvl>
    <w:lvl w:ilvl="7" w:tplc="D54C8486" w:tentative="1">
      <w:start w:val="1"/>
      <w:numFmt w:val="bullet"/>
      <w:lvlText w:val="o"/>
      <w:lvlJc w:val="left"/>
      <w:pPr>
        <w:ind w:left="5760" w:hanging="360"/>
      </w:pPr>
      <w:rPr>
        <w:rFonts w:ascii="Courier New" w:hAnsi="Courier New" w:cs="Courier New" w:hint="default"/>
      </w:rPr>
    </w:lvl>
    <w:lvl w:ilvl="8" w:tplc="7938DB74"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AC"/>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1EE2"/>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96"/>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8B7"/>
    <w:rsid w:val="00143C8B"/>
    <w:rsid w:val="00147530"/>
    <w:rsid w:val="0015331F"/>
    <w:rsid w:val="00156AB2"/>
    <w:rsid w:val="00157C2C"/>
    <w:rsid w:val="00160402"/>
    <w:rsid w:val="00160571"/>
    <w:rsid w:val="00161E93"/>
    <w:rsid w:val="00162C7A"/>
    <w:rsid w:val="00162DAE"/>
    <w:rsid w:val="001639C5"/>
    <w:rsid w:val="00163E45"/>
    <w:rsid w:val="001664C2"/>
    <w:rsid w:val="00171BF2"/>
    <w:rsid w:val="001724C3"/>
    <w:rsid w:val="0017347B"/>
    <w:rsid w:val="00176312"/>
    <w:rsid w:val="0017725B"/>
    <w:rsid w:val="0018050C"/>
    <w:rsid w:val="0018117F"/>
    <w:rsid w:val="001824ED"/>
    <w:rsid w:val="00183262"/>
    <w:rsid w:val="00183613"/>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65"/>
    <w:rsid w:val="001B26D8"/>
    <w:rsid w:val="001B3BFA"/>
    <w:rsid w:val="001B75B8"/>
    <w:rsid w:val="001C1230"/>
    <w:rsid w:val="001C3A0A"/>
    <w:rsid w:val="001C586F"/>
    <w:rsid w:val="001C60B5"/>
    <w:rsid w:val="001C61B0"/>
    <w:rsid w:val="001C7957"/>
    <w:rsid w:val="001C7DB8"/>
    <w:rsid w:val="001C7EA8"/>
    <w:rsid w:val="001D0B1D"/>
    <w:rsid w:val="001D0B4E"/>
    <w:rsid w:val="001D1711"/>
    <w:rsid w:val="001D2A01"/>
    <w:rsid w:val="001D2EF6"/>
    <w:rsid w:val="001D37A8"/>
    <w:rsid w:val="001D462E"/>
    <w:rsid w:val="001E2CAD"/>
    <w:rsid w:val="001E34DB"/>
    <w:rsid w:val="001E37CD"/>
    <w:rsid w:val="001E4070"/>
    <w:rsid w:val="001E655E"/>
    <w:rsid w:val="001F1E85"/>
    <w:rsid w:val="001F3CB8"/>
    <w:rsid w:val="001F6B91"/>
    <w:rsid w:val="001F703C"/>
    <w:rsid w:val="00200B9E"/>
    <w:rsid w:val="00200BF5"/>
    <w:rsid w:val="002010D1"/>
    <w:rsid w:val="00201338"/>
    <w:rsid w:val="0020562D"/>
    <w:rsid w:val="0020775D"/>
    <w:rsid w:val="002116DD"/>
    <w:rsid w:val="0021383D"/>
    <w:rsid w:val="00216BBA"/>
    <w:rsid w:val="00216E12"/>
    <w:rsid w:val="00217466"/>
    <w:rsid w:val="0021751D"/>
    <w:rsid w:val="00217C49"/>
    <w:rsid w:val="0022177D"/>
    <w:rsid w:val="00224895"/>
    <w:rsid w:val="00224C37"/>
    <w:rsid w:val="002304DF"/>
    <w:rsid w:val="00230970"/>
    <w:rsid w:val="0023341D"/>
    <w:rsid w:val="002338DA"/>
    <w:rsid w:val="00233D66"/>
    <w:rsid w:val="00233FDB"/>
    <w:rsid w:val="00234F58"/>
    <w:rsid w:val="0023507D"/>
    <w:rsid w:val="002363F4"/>
    <w:rsid w:val="0024077A"/>
    <w:rsid w:val="00241EC1"/>
    <w:rsid w:val="002431DA"/>
    <w:rsid w:val="0024691D"/>
    <w:rsid w:val="00247D27"/>
    <w:rsid w:val="002505AD"/>
    <w:rsid w:val="00250A50"/>
    <w:rsid w:val="00251ED5"/>
    <w:rsid w:val="00254EF3"/>
    <w:rsid w:val="00255EB6"/>
    <w:rsid w:val="00257429"/>
    <w:rsid w:val="00260128"/>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0196"/>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0B68"/>
    <w:rsid w:val="002C1C17"/>
    <w:rsid w:val="002C3203"/>
    <w:rsid w:val="002C3B07"/>
    <w:rsid w:val="002C532B"/>
    <w:rsid w:val="002C5713"/>
    <w:rsid w:val="002D05CC"/>
    <w:rsid w:val="002D305A"/>
    <w:rsid w:val="002D3BED"/>
    <w:rsid w:val="002D5158"/>
    <w:rsid w:val="002E21B8"/>
    <w:rsid w:val="002E392E"/>
    <w:rsid w:val="002E505E"/>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54B4"/>
    <w:rsid w:val="0031741B"/>
    <w:rsid w:val="00321337"/>
    <w:rsid w:val="00321412"/>
    <w:rsid w:val="00321F2F"/>
    <w:rsid w:val="003237F6"/>
    <w:rsid w:val="00324077"/>
    <w:rsid w:val="0032453B"/>
    <w:rsid w:val="00324868"/>
    <w:rsid w:val="003305F5"/>
    <w:rsid w:val="003338EE"/>
    <w:rsid w:val="00333930"/>
    <w:rsid w:val="00336BA4"/>
    <w:rsid w:val="00336C7A"/>
    <w:rsid w:val="00337392"/>
    <w:rsid w:val="00337659"/>
    <w:rsid w:val="003427C9"/>
    <w:rsid w:val="00343A92"/>
    <w:rsid w:val="00344530"/>
    <w:rsid w:val="003446DC"/>
    <w:rsid w:val="00347676"/>
    <w:rsid w:val="00347B4A"/>
    <w:rsid w:val="003500C3"/>
    <w:rsid w:val="003523BD"/>
    <w:rsid w:val="00352681"/>
    <w:rsid w:val="003536AA"/>
    <w:rsid w:val="003544CE"/>
    <w:rsid w:val="00355A98"/>
    <w:rsid w:val="00355D7E"/>
    <w:rsid w:val="00355E2E"/>
    <w:rsid w:val="00357CA1"/>
    <w:rsid w:val="00361FE9"/>
    <w:rsid w:val="003624F2"/>
    <w:rsid w:val="00363854"/>
    <w:rsid w:val="00364315"/>
    <w:rsid w:val="003643E2"/>
    <w:rsid w:val="00370155"/>
    <w:rsid w:val="003712D5"/>
    <w:rsid w:val="003747DF"/>
    <w:rsid w:val="00377E3D"/>
    <w:rsid w:val="00380D8C"/>
    <w:rsid w:val="003847E8"/>
    <w:rsid w:val="0038731D"/>
    <w:rsid w:val="00387AEF"/>
    <w:rsid w:val="00387B60"/>
    <w:rsid w:val="00390098"/>
    <w:rsid w:val="00392DA1"/>
    <w:rsid w:val="00393718"/>
    <w:rsid w:val="00395946"/>
    <w:rsid w:val="003A0296"/>
    <w:rsid w:val="003A10BC"/>
    <w:rsid w:val="003B1501"/>
    <w:rsid w:val="003B185E"/>
    <w:rsid w:val="003B198A"/>
    <w:rsid w:val="003B1CA3"/>
    <w:rsid w:val="003B1ED9"/>
    <w:rsid w:val="003B2891"/>
    <w:rsid w:val="003B3DF3"/>
    <w:rsid w:val="003B48E2"/>
    <w:rsid w:val="003B4FA1"/>
    <w:rsid w:val="003B5274"/>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3F7E7C"/>
    <w:rsid w:val="00400ACD"/>
    <w:rsid w:val="00403B15"/>
    <w:rsid w:val="00403E8A"/>
    <w:rsid w:val="004101E4"/>
    <w:rsid w:val="00410661"/>
    <w:rsid w:val="004108C3"/>
    <w:rsid w:val="00410B33"/>
    <w:rsid w:val="004120CC"/>
    <w:rsid w:val="00412ED2"/>
    <w:rsid w:val="00412F0F"/>
    <w:rsid w:val="004134CE"/>
    <w:rsid w:val="004136A8"/>
    <w:rsid w:val="0041438D"/>
    <w:rsid w:val="00415139"/>
    <w:rsid w:val="004157DE"/>
    <w:rsid w:val="004166BB"/>
    <w:rsid w:val="004174CD"/>
    <w:rsid w:val="004241AA"/>
    <w:rsid w:val="0042422E"/>
    <w:rsid w:val="0043190E"/>
    <w:rsid w:val="004324E9"/>
    <w:rsid w:val="00434864"/>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E7CF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3D2F"/>
    <w:rsid w:val="005847EF"/>
    <w:rsid w:val="00584D12"/>
    <w:rsid w:val="005851E6"/>
    <w:rsid w:val="00585B64"/>
    <w:rsid w:val="005874B5"/>
    <w:rsid w:val="005878B7"/>
    <w:rsid w:val="00592931"/>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11A"/>
    <w:rsid w:val="005E1999"/>
    <w:rsid w:val="005E232C"/>
    <w:rsid w:val="005E2B83"/>
    <w:rsid w:val="005E4AEB"/>
    <w:rsid w:val="005E738F"/>
    <w:rsid w:val="005E788B"/>
    <w:rsid w:val="005F1519"/>
    <w:rsid w:val="005F4862"/>
    <w:rsid w:val="005F5260"/>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22AA"/>
    <w:rsid w:val="006249CB"/>
    <w:rsid w:val="006272DD"/>
    <w:rsid w:val="00630963"/>
    <w:rsid w:val="00631897"/>
    <w:rsid w:val="00632928"/>
    <w:rsid w:val="006330DA"/>
    <w:rsid w:val="00633262"/>
    <w:rsid w:val="00633460"/>
    <w:rsid w:val="006402E7"/>
    <w:rsid w:val="00640CB6"/>
    <w:rsid w:val="00641B42"/>
    <w:rsid w:val="00641E34"/>
    <w:rsid w:val="00645750"/>
    <w:rsid w:val="00650692"/>
    <w:rsid w:val="006508D3"/>
    <w:rsid w:val="00650AFA"/>
    <w:rsid w:val="00662B77"/>
    <w:rsid w:val="00662D0E"/>
    <w:rsid w:val="00662E75"/>
    <w:rsid w:val="00663265"/>
    <w:rsid w:val="0066345F"/>
    <w:rsid w:val="0066485B"/>
    <w:rsid w:val="0067036E"/>
    <w:rsid w:val="00671693"/>
    <w:rsid w:val="006749A6"/>
    <w:rsid w:val="006757AA"/>
    <w:rsid w:val="0068127E"/>
    <w:rsid w:val="00681790"/>
    <w:rsid w:val="006823AA"/>
    <w:rsid w:val="00684B98"/>
    <w:rsid w:val="00685DC9"/>
    <w:rsid w:val="00687465"/>
    <w:rsid w:val="006907CF"/>
    <w:rsid w:val="00691CCF"/>
    <w:rsid w:val="00692D55"/>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38FD"/>
    <w:rsid w:val="006F4BB0"/>
    <w:rsid w:val="007031BD"/>
    <w:rsid w:val="00703E80"/>
    <w:rsid w:val="00705276"/>
    <w:rsid w:val="007066A0"/>
    <w:rsid w:val="007075FB"/>
    <w:rsid w:val="0070787B"/>
    <w:rsid w:val="007103E2"/>
    <w:rsid w:val="0071131D"/>
    <w:rsid w:val="00711E3D"/>
    <w:rsid w:val="00711E85"/>
    <w:rsid w:val="00712DDA"/>
    <w:rsid w:val="00716D9A"/>
    <w:rsid w:val="00717739"/>
    <w:rsid w:val="00717DE4"/>
    <w:rsid w:val="00721724"/>
    <w:rsid w:val="00722EC5"/>
    <w:rsid w:val="00723326"/>
    <w:rsid w:val="00724252"/>
    <w:rsid w:val="00724CDD"/>
    <w:rsid w:val="00727E7A"/>
    <w:rsid w:val="0073163C"/>
    <w:rsid w:val="00731DE3"/>
    <w:rsid w:val="0073352B"/>
    <w:rsid w:val="00735B9D"/>
    <w:rsid w:val="007365A5"/>
    <w:rsid w:val="00736FB0"/>
    <w:rsid w:val="007404BC"/>
    <w:rsid w:val="00740D13"/>
    <w:rsid w:val="00740F5F"/>
    <w:rsid w:val="00742794"/>
    <w:rsid w:val="00743C4C"/>
    <w:rsid w:val="0074443D"/>
    <w:rsid w:val="007445B7"/>
    <w:rsid w:val="00744920"/>
    <w:rsid w:val="007509BE"/>
    <w:rsid w:val="0075287B"/>
    <w:rsid w:val="00755C7B"/>
    <w:rsid w:val="00756800"/>
    <w:rsid w:val="007613D3"/>
    <w:rsid w:val="00764786"/>
    <w:rsid w:val="00766E12"/>
    <w:rsid w:val="0077098E"/>
    <w:rsid w:val="00771287"/>
    <w:rsid w:val="0077149E"/>
    <w:rsid w:val="00777518"/>
    <w:rsid w:val="0077779E"/>
    <w:rsid w:val="00780FB6"/>
    <w:rsid w:val="0078552A"/>
    <w:rsid w:val="00785729"/>
    <w:rsid w:val="00786058"/>
    <w:rsid w:val="00792BAC"/>
    <w:rsid w:val="0079487D"/>
    <w:rsid w:val="007966D4"/>
    <w:rsid w:val="00796A0A"/>
    <w:rsid w:val="0079792C"/>
    <w:rsid w:val="007A0989"/>
    <w:rsid w:val="007A331F"/>
    <w:rsid w:val="007A3844"/>
    <w:rsid w:val="007A4381"/>
    <w:rsid w:val="007A5466"/>
    <w:rsid w:val="007A7EC1"/>
    <w:rsid w:val="007B4FCA"/>
    <w:rsid w:val="007B7B85"/>
    <w:rsid w:val="007C20BB"/>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0A7"/>
    <w:rsid w:val="0080765F"/>
    <w:rsid w:val="0081231A"/>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42D79"/>
    <w:rsid w:val="00850CF0"/>
    <w:rsid w:val="0085123C"/>
    <w:rsid w:val="00851869"/>
    <w:rsid w:val="00851C04"/>
    <w:rsid w:val="008531A1"/>
    <w:rsid w:val="00853A94"/>
    <w:rsid w:val="008547A3"/>
    <w:rsid w:val="0085797D"/>
    <w:rsid w:val="00860020"/>
    <w:rsid w:val="008618E7"/>
    <w:rsid w:val="00861995"/>
    <w:rsid w:val="0086231A"/>
    <w:rsid w:val="0086477C"/>
    <w:rsid w:val="00864BAD"/>
    <w:rsid w:val="008667AC"/>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867E7"/>
    <w:rsid w:val="00890B59"/>
    <w:rsid w:val="008930D7"/>
    <w:rsid w:val="008947A7"/>
    <w:rsid w:val="00897E80"/>
    <w:rsid w:val="008A04FA"/>
    <w:rsid w:val="008A3188"/>
    <w:rsid w:val="008A3FDF"/>
    <w:rsid w:val="008A6418"/>
    <w:rsid w:val="008B05D8"/>
    <w:rsid w:val="008B0B3D"/>
    <w:rsid w:val="008B2B1A"/>
    <w:rsid w:val="008B3428"/>
    <w:rsid w:val="008B7309"/>
    <w:rsid w:val="008B7785"/>
    <w:rsid w:val="008C0809"/>
    <w:rsid w:val="008C1038"/>
    <w:rsid w:val="008C132C"/>
    <w:rsid w:val="008C3FD0"/>
    <w:rsid w:val="008D27A5"/>
    <w:rsid w:val="008D2AAB"/>
    <w:rsid w:val="008D309C"/>
    <w:rsid w:val="008D51D3"/>
    <w:rsid w:val="008D58F9"/>
    <w:rsid w:val="008E3338"/>
    <w:rsid w:val="008E47BE"/>
    <w:rsid w:val="008F09DF"/>
    <w:rsid w:val="008F3053"/>
    <w:rsid w:val="008F3136"/>
    <w:rsid w:val="008F40DF"/>
    <w:rsid w:val="008F5E16"/>
    <w:rsid w:val="008F5EFC"/>
    <w:rsid w:val="00901670"/>
    <w:rsid w:val="00902212"/>
    <w:rsid w:val="00903E0A"/>
    <w:rsid w:val="00904721"/>
    <w:rsid w:val="00905E7C"/>
    <w:rsid w:val="00907780"/>
    <w:rsid w:val="00907EDD"/>
    <w:rsid w:val="009107AD"/>
    <w:rsid w:val="00910CD6"/>
    <w:rsid w:val="00915568"/>
    <w:rsid w:val="00917E0C"/>
    <w:rsid w:val="00920711"/>
    <w:rsid w:val="00921A1E"/>
    <w:rsid w:val="00924EA9"/>
    <w:rsid w:val="00925CE1"/>
    <w:rsid w:val="00925F5C"/>
    <w:rsid w:val="00930897"/>
    <w:rsid w:val="009320D2"/>
    <w:rsid w:val="00932C77"/>
    <w:rsid w:val="00933F7E"/>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5580"/>
    <w:rsid w:val="00986720"/>
    <w:rsid w:val="009869EF"/>
    <w:rsid w:val="00987F00"/>
    <w:rsid w:val="0099403D"/>
    <w:rsid w:val="00995B0B"/>
    <w:rsid w:val="00997293"/>
    <w:rsid w:val="009A1883"/>
    <w:rsid w:val="009A39F5"/>
    <w:rsid w:val="009A4566"/>
    <w:rsid w:val="009A4588"/>
    <w:rsid w:val="009A5EA5"/>
    <w:rsid w:val="009A626A"/>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3C73"/>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37455"/>
    <w:rsid w:val="00A41085"/>
    <w:rsid w:val="00A425FA"/>
    <w:rsid w:val="00A42C44"/>
    <w:rsid w:val="00A43960"/>
    <w:rsid w:val="00A46902"/>
    <w:rsid w:val="00A50CDB"/>
    <w:rsid w:val="00A51F3E"/>
    <w:rsid w:val="00A5364B"/>
    <w:rsid w:val="00A54142"/>
    <w:rsid w:val="00A5426A"/>
    <w:rsid w:val="00A54671"/>
    <w:rsid w:val="00A54C42"/>
    <w:rsid w:val="00A572B1"/>
    <w:rsid w:val="00A577AF"/>
    <w:rsid w:val="00A60177"/>
    <w:rsid w:val="00A61C27"/>
    <w:rsid w:val="00A6344D"/>
    <w:rsid w:val="00A644B8"/>
    <w:rsid w:val="00A70E35"/>
    <w:rsid w:val="00A720DC"/>
    <w:rsid w:val="00A77FA8"/>
    <w:rsid w:val="00A803CF"/>
    <w:rsid w:val="00A8133F"/>
    <w:rsid w:val="00A82CB4"/>
    <w:rsid w:val="00A837A8"/>
    <w:rsid w:val="00A83C36"/>
    <w:rsid w:val="00A932BB"/>
    <w:rsid w:val="00A93579"/>
    <w:rsid w:val="00A93934"/>
    <w:rsid w:val="00A95D51"/>
    <w:rsid w:val="00A97D72"/>
    <w:rsid w:val="00AA18AE"/>
    <w:rsid w:val="00AA228B"/>
    <w:rsid w:val="00AA597A"/>
    <w:rsid w:val="00AA7E52"/>
    <w:rsid w:val="00AB1655"/>
    <w:rsid w:val="00AB1873"/>
    <w:rsid w:val="00AB2C05"/>
    <w:rsid w:val="00AB3536"/>
    <w:rsid w:val="00AB474B"/>
    <w:rsid w:val="00AB5CCC"/>
    <w:rsid w:val="00AB635B"/>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5CDE"/>
    <w:rsid w:val="00B473D8"/>
    <w:rsid w:val="00B5165A"/>
    <w:rsid w:val="00B524C1"/>
    <w:rsid w:val="00B52C8D"/>
    <w:rsid w:val="00B564BF"/>
    <w:rsid w:val="00B57409"/>
    <w:rsid w:val="00B6104E"/>
    <w:rsid w:val="00B610C7"/>
    <w:rsid w:val="00B62106"/>
    <w:rsid w:val="00B626A8"/>
    <w:rsid w:val="00B65695"/>
    <w:rsid w:val="00B66526"/>
    <w:rsid w:val="00B665A3"/>
    <w:rsid w:val="00B73BB4"/>
    <w:rsid w:val="00B80532"/>
    <w:rsid w:val="00B82039"/>
    <w:rsid w:val="00B82454"/>
    <w:rsid w:val="00B831AC"/>
    <w:rsid w:val="00B90097"/>
    <w:rsid w:val="00B90999"/>
    <w:rsid w:val="00B91AD7"/>
    <w:rsid w:val="00B92D23"/>
    <w:rsid w:val="00B95BC8"/>
    <w:rsid w:val="00B96E87"/>
    <w:rsid w:val="00BA146A"/>
    <w:rsid w:val="00BA32EE"/>
    <w:rsid w:val="00BB253A"/>
    <w:rsid w:val="00BB2DDF"/>
    <w:rsid w:val="00BB5B36"/>
    <w:rsid w:val="00BB62E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06219"/>
    <w:rsid w:val="00C07925"/>
    <w:rsid w:val="00C119AC"/>
    <w:rsid w:val="00C14EE6"/>
    <w:rsid w:val="00C151DA"/>
    <w:rsid w:val="00C152A1"/>
    <w:rsid w:val="00C16CCB"/>
    <w:rsid w:val="00C2142B"/>
    <w:rsid w:val="00C22987"/>
    <w:rsid w:val="00C23956"/>
    <w:rsid w:val="00C248E6"/>
    <w:rsid w:val="00C25C31"/>
    <w:rsid w:val="00C2766F"/>
    <w:rsid w:val="00C30F69"/>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E86"/>
    <w:rsid w:val="00C72956"/>
    <w:rsid w:val="00C73045"/>
    <w:rsid w:val="00C73212"/>
    <w:rsid w:val="00C7354A"/>
    <w:rsid w:val="00C74379"/>
    <w:rsid w:val="00C74DD8"/>
    <w:rsid w:val="00C75C5E"/>
    <w:rsid w:val="00C7669F"/>
    <w:rsid w:val="00C76DFF"/>
    <w:rsid w:val="00C80B8F"/>
    <w:rsid w:val="00C81DA7"/>
    <w:rsid w:val="00C82743"/>
    <w:rsid w:val="00C834CE"/>
    <w:rsid w:val="00C9047F"/>
    <w:rsid w:val="00C91F65"/>
    <w:rsid w:val="00C92310"/>
    <w:rsid w:val="00C939B9"/>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2222"/>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0EA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464EC"/>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3AB1"/>
    <w:rsid w:val="00D749E9"/>
    <w:rsid w:val="00D76631"/>
    <w:rsid w:val="00D768B7"/>
    <w:rsid w:val="00D77492"/>
    <w:rsid w:val="00D811E8"/>
    <w:rsid w:val="00D81A44"/>
    <w:rsid w:val="00D83025"/>
    <w:rsid w:val="00D83072"/>
    <w:rsid w:val="00D83ABC"/>
    <w:rsid w:val="00D84870"/>
    <w:rsid w:val="00D91B92"/>
    <w:rsid w:val="00D92568"/>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57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09C"/>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559D"/>
    <w:rsid w:val="00E26B13"/>
    <w:rsid w:val="00E27E5A"/>
    <w:rsid w:val="00E31135"/>
    <w:rsid w:val="00E317BA"/>
    <w:rsid w:val="00E3469B"/>
    <w:rsid w:val="00E347D5"/>
    <w:rsid w:val="00E3679D"/>
    <w:rsid w:val="00E3795D"/>
    <w:rsid w:val="00E4098A"/>
    <w:rsid w:val="00E41CAE"/>
    <w:rsid w:val="00E42014"/>
    <w:rsid w:val="00E42B85"/>
    <w:rsid w:val="00E42BB2"/>
    <w:rsid w:val="00E42FA2"/>
    <w:rsid w:val="00E43263"/>
    <w:rsid w:val="00E438AE"/>
    <w:rsid w:val="00E443CE"/>
    <w:rsid w:val="00E45547"/>
    <w:rsid w:val="00E476FE"/>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17E"/>
    <w:rsid w:val="00E90702"/>
    <w:rsid w:val="00E91523"/>
    <w:rsid w:val="00E9241E"/>
    <w:rsid w:val="00E93DEF"/>
    <w:rsid w:val="00E947B1"/>
    <w:rsid w:val="00E96852"/>
    <w:rsid w:val="00EA16AC"/>
    <w:rsid w:val="00EA385A"/>
    <w:rsid w:val="00EA3931"/>
    <w:rsid w:val="00EA623C"/>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3BE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5921"/>
    <w:rsid w:val="00F0638C"/>
    <w:rsid w:val="00F11E04"/>
    <w:rsid w:val="00F12B24"/>
    <w:rsid w:val="00F12BC7"/>
    <w:rsid w:val="00F15223"/>
    <w:rsid w:val="00F164B4"/>
    <w:rsid w:val="00F176E4"/>
    <w:rsid w:val="00F20E5F"/>
    <w:rsid w:val="00F25CC2"/>
    <w:rsid w:val="00F2723F"/>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0E1F"/>
    <w:rsid w:val="00F6514B"/>
    <w:rsid w:val="00F6587F"/>
    <w:rsid w:val="00F67981"/>
    <w:rsid w:val="00F706CA"/>
    <w:rsid w:val="00F70F8D"/>
    <w:rsid w:val="00F71C5A"/>
    <w:rsid w:val="00F733A4"/>
    <w:rsid w:val="00F7758F"/>
    <w:rsid w:val="00F82811"/>
    <w:rsid w:val="00F8349A"/>
    <w:rsid w:val="00F83BF6"/>
    <w:rsid w:val="00F84153"/>
    <w:rsid w:val="00F85661"/>
    <w:rsid w:val="00F96602"/>
    <w:rsid w:val="00F9735A"/>
    <w:rsid w:val="00FA0B0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69A4"/>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F35950-F4EC-41C6-A789-76923A9B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B253A"/>
    <w:rPr>
      <w:sz w:val="16"/>
      <w:szCs w:val="16"/>
    </w:rPr>
  </w:style>
  <w:style w:type="paragraph" w:styleId="CommentText">
    <w:name w:val="annotation text"/>
    <w:basedOn w:val="Normal"/>
    <w:link w:val="CommentTextChar"/>
    <w:semiHidden/>
    <w:unhideWhenUsed/>
    <w:rsid w:val="00BB253A"/>
    <w:rPr>
      <w:sz w:val="20"/>
      <w:szCs w:val="20"/>
    </w:rPr>
  </w:style>
  <w:style w:type="character" w:customStyle="1" w:styleId="CommentTextChar">
    <w:name w:val="Comment Text Char"/>
    <w:basedOn w:val="DefaultParagraphFont"/>
    <w:link w:val="CommentText"/>
    <w:semiHidden/>
    <w:rsid w:val="00BB253A"/>
  </w:style>
  <w:style w:type="paragraph" w:styleId="CommentSubject">
    <w:name w:val="annotation subject"/>
    <w:basedOn w:val="CommentText"/>
    <w:next w:val="CommentText"/>
    <w:link w:val="CommentSubjectChar"/>
    <w:semiHidden/>
    <w:unhideWhenUsed/>
    <w:rsid w:val="00BB253A"/>
    <w:rPr>
      <w:b/>
      <w:bCs/>
    </w:rPr>
  </w:style>
  <w:style w:type="character" w:customStyle="1" w:styleId="CommentSubjectChar">
    <w:name w:val="Comment Subject Char"/>
    <w:basedOn w:val="CommentTextChar"/>
    <w:link w:val="CommentSubject"/>
    <w:semiHidden/>
    <w:rsid w:val="00BB253A"/>
    <w:rPr>
      <w:b/>
      <w:bCs/>
    </w:rPr>
  </w:style>
  <w:style w:type="paragraph" w:styleId="ListParagraph">
    <w:name w:val="List Paragraph"/>
    <w:basedOn w:val="Normal"/>
    <w:uiPriority w:val="34"/>
    <w:qFormat/>
    <w:rsid w:val="00F8349A"/>
    <w:pPr>
      <w:ind w:left="720"/>
      <w:contextualSpacing/>
    </w:pPr>
  </w:style>
  <w:style w:type="character" w:styleId="Hyperlink">
    <w:name w:val="Hyperlink"/>
    <w:basedOn w:val="DefaultParagraphFont"/>
    <w:unhideWhenUsed/>
    <w:rsid w:val="00224895"/>
    <w:rPr>
      <w:color w:val="0000FF" w:themeColor="hyperlink"/>
      <w:u w:val="single"/>
    </w:rPr>
  </w:style>
  <w:style w:type="paragraph" w:styleId="Revision">
    <w:name w:val="Revision"/>
    <w:hidden/>
    <w:uiPriority w:val="99"/>
    <w:semiHidden/>
    <w:rsid w:val="006222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6126</Characters>
  <Application>Microsoft Office Word</Application>
  <DocSecurity>4</DocSecurity>
  <Lines>137</Lines>
  <Paragraphs>41</Paragraphs>
  <ScaleCrop>false</ScaleCrop>
  <HeadingPairs>
    <vt:vector size="2" baseType="variant">
      <vt:variant>
        <vt:lpstr>Title</vt:lpstr>
      </vt:variant>
      <vt:variant>
        <vt:i4>1</vt:i4>
      </vt:variant>
    </vt:vector>
  </HeadingPairs>
  <TitlesOfParts>
    <vt:vector size="1" baseType="lpstr">
      <vt:lpstr>BA - SB00906 (Committee Report (Substituted))</vt:lpstr>
    </vt:vector>
  </TitlesOfParts>
  <Company>State of Texas</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22932</dc:subject>
  <dc:creator>State of Texas</dc:creator>
  <dc:description>SB 906 by Perry-(H)Corrections (Substitute Document Number: 87R 18263)</dc:description>
  <cp:lastModifiedBy>Stacey Nicchio</cp:lastModifiedBy>
  <cp:revision>2</cp:revision>
  <cp:lastPrinted>2003-11-26T17:21:00Z</cp:lastPrinted>
  <dcterms:created xsi:type="dcterms:W3CDTF">2021-05-04T19:19:00Z</dcterms:created>
  <dcterms:modified xsi:type="dcterms:W3CDTF">2021-05-04T19:19:00Z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21.117.414</vt:lpwstr>
  </property>
</Properties>
</file>