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001524" w14:paraId="205D1A35" w14:textId="77777777" w:rsidTr="00345119">
        <w:tc>
          <w:tcPr>
            <w:tcW w:w="9576" w:type="dxa"/>
            <w:noWrap/>
          </w:tcPr>
          <w:p w14:paraId="510AA4B2" w14:textId="77777777" w:rsidR="008423E4" w:rsidRPr="0022177D" w:rsidRDefault="00983469" w:rsidP="00863533">
            <w:pPr>
              <w:pStyle w:val="Heading1"/>
            </w:pPr>
            <w:bookmarkStart w:id="0" w:name="_GoBack"/>
            <w:bookmarkEnd w:id="0"/>
            <w:r w:rsidRPr="00631897">
              <w:t>BILL ANALYSIS</w:t>
            </w:r>
          </w:p>
        </w:tc>
      </w:tr>
    </w:tbl>
    <w:p w14:paraId="2EC3190E" w14:textId="77777777" w:rsidR="008423E4" w:rsidRPr="0022177D" w:rsidRDefault="008423E4" w:rsidP="00863533">
      <w:pPr>
        <w:jc w:val="center"/>
      </w:pPr>
    </w:p>
    <w:p w14:paraId="0DA4F19A" w14:textId="77777777" w:rsidR="008423E4" w:rsidRPr="00B31F0E" w:rsidRDefault="008423E4" w:rsidP="00863533"/>
    <w:p w14:paraId="0BD54750" w14:textId="77777777" w:rsidR="008423E4" w:rsidRPr="00742794" w:rsidRDefault="008423E4" w:rsidP="00863533">
      <w:pPr>
        <w:tabs>
          <w:tab w:val="right" w:pos="9360"/>
        </w:tabs>
      </w:pPr>
    </w:p>
    <w:tbl>
      <w:tblPr>
        <w:tblW w:w="0" w:type="auto"/>
        <w:tblLayout w:type="fixed"/>
        <w:tblLook w:val="01E0" w:firstRow="1" w:lastRow="1" w:firstColumn="1" w:lastColumn="1" w:noHBand="0" w:noVBand="0"/>
      </w:tblPr>
      <w:tblGrid>
        <w:gridCol w:w="9576"/>
      </w:tblGrid>
      <w:tr w:rsidR="00001524" w14:paraId="56192ECE" w14:textId="77777777" w:rsidTr="00345119">
        <w:tc>
          <w:tcPr>
            <w:tcW w:w="9576" w:type="dxa"/>
          </w:tcPr>
          <w:p w14:paraId="101D7B8B" w14:textId="77777777" w:rsidR="008423E4" w:rsidRPr="00861995" w:rsidRDefault="00983469" w:rsidP="00863533">
            <w:pPr>
              <w:jc w:val="right"/>
            </w:pPr>
            <w:r>
              <w:t>S.B. 922</w:t>
            </w:r>
          </w:p>
        </w:tc>
      </w:tr>
      <w:tr w:rsidR="00001524" w14:paraId="7A02754B" w14:textId="77777777" w:rsidTr="00345119">
        <w:tc>
          <w:tcPr>
            <w:tcW w:w="9576" w:type="dxa"/>
          </w:tcPr>
          <w:p w14:paraId="1F256E3A" w14:textId="77777777" w:rsidR="008423E4" w:rsidRPr="00861995" w:rsidRDefault="00983469" w:rsidP="00863533">
            <w:pPr>
              <w:jc w:val="right"/>
            </w:pPr>
            <w:r>
              <w:t xml:space="preserve">By: </w:t>
            </w:r>
            <w:r w:rsidR="00223653">
              <w:t>Seliger</w:t>
            </w:r>
          </w:p>
        </w:tc>
      </w:tr>
      <w:tr w:rsidR="00001524" w14:paraId="712CABD6" w14:textId="77777777" w:rsidTr="00345119">
        <w:tc>
          <w:tcPr>
            <w:tcW w:w="9576" w:type="dxa"/>
          </w:tcPr>
          <w:p w14:paraId="4B5AB05D" w14:textId="77777777" w:rsidR="008423E4" w:rsidRPr="00861995" w:rsidRDefault="00983469" w:rsidP="00863533">
            <w:pPr>
              <w:jc w:val="right"/>
            </w:pPr>
            <w:r>
              <w:t>Homeland Security &amp; Public Safety</w:t>
            </w:r>
          </w:p>
        </w:tc>
      </w:tr>
      <w:tr w:rsidR="00001524" w14:paraId="12C14FC5" w14:textId="77777777" w:rsidTr="00345119">
        <w:tc>
          <w:tcPr>
            <w:tcW w:w="9576" w:type="dxa"/>
          </w:tcPr>
          <w:p w14:paraId="59C91897" w14:textId="77777777" w:rsidR="008423E4" w:rsidRDefault="00983469" w:rsidP="00863533">
            <w:pPr>
              <w:jc w:val="right"/>
            </w:pPr>
            <w:r>
              <w:t>Committee Report (Unamended)</w:t>
            </w:r>
          </w:p>
        </w:tc>
      </w:tr>
    </w:tbl>
    <w:p w14:paraId="1D1DF629" w14:textId="77777777" w:rsidR="008423E4" w:rsidRDefault="008423E4" w:rsidP="00863533">
      <w:pPr>
        <w:tabs>
          <w:tab w:val="right" w:pos="9360"/>
        </w:tabs>
      </w:pPr>
    </w:p>
    <w:p w14:paraId="21794236" w14:textId="77777777" w:rsidR="008423E4" w:rsidRDefault="008423E4" w:rsidP="00863533"/>
    <w:p w14:paraId="43EDD7C0" w14:textId="77777777" w:rsidR="008423E4" w:rsidRDefault="008423E4" w:rsidP="00863533"/>
    <w:tbl>
      <w:tblPr>
        <w:tblW w:w="0" w:type="auto"/>
        <w:tblCellMar>
          <w:left w:w="115" w:type="dxa"/>
          <w:right w:w="115" w:type="dxa"/>
        </w:tblCellMar>
        <w:tblLook w:val="01E0" w:firstRow="1" w:lastRow="1" w:firstColumn="1" w:lastColumn="1" w:noHBand="0" w:noVBand="0"/>
      </w:tblPr>
      <w:tblGrid>
        <w:gridCol w:w="9360"/>
      </w:tblGrid>
      <w:tr w:rsidR="00001524" w14:paraId="5702FFCC" w14:textId="77777777" w:rsidTr="00345119">
        <w:tc>
          <w:tcPr>
            <w:tcW w:w="9576" w:type="dxa"/>
          </w:tcPr>
          <w:p w14:paraId="167ABB31" w14:textId="77777777" w:rsidR="008423E4" w:rsidRPr="00A8133F" w:rsidRDefault="00983469" w:rsidP="00863533">
            <w:pPr>
              <w:rPr>
                <w:b/>
              </w:rPr>
            </w:pPr>
            <w:r w:rsidRPr="009C1E9A">
              <w:rPr>
                <w:b/>
                <w:u w:val="single"/>
              </w:rPr>
              <w:t>BACKGROUND AND PURPOSE</w:t>
            </w:r>
            <w:r>
              <w:rPr>
                <w:b/>
              </w:rPr>
              <w:t xml:space="preserve"> </w:t>
            </w:r>
          </w:p>
          <w:p w14:paraId="7D6C037D" w14:textId="77777777" w:rsidR="008423E4" w:rsidRDefault="008423E4" w:rsidP="00863533"/>
          <w:p w14:paraId="33CED78F" w14:textId="43CCA718" w:rsidR="008423E4" w:rsidRDefault="00983469" w:rsidP="00863533">
            <w:pPr>
              <w:pStyle w:val="Header"/>
              <w:tabs>
                <w:tab w:val="clear" w:pos="4320"/>
                <w:tab w:val="clear" w:pos="8640"/>
              </w:tabs>
              <w:jc w:val="both"/>
            </w:pPr>
            <w:r>
              <w:t>The Department of Public Safety (DPS) currently partners with a third</w:t>
            </w:r>
            <w:r w:rsidR="000A5A20">
              <w:t>-</w:t>
            </w:r>
            <w:r>
              <w:t>party vendor, IdentoGO</w:t>
            </w:r>
            <w:r>
              <w:t xml:space="preserve">, to provide criminal history checks through an electronic fingerprinting service, which employers and licensing agencies </w:t>
            </w:r>
            <w:r w:rsidR="00E30ECA">
              <w:t xml:space="preserve">use </w:t>
            </w:r>
            <w:r>
              <w:t>across Texas. Written in the agency's contract is a requirement that the vendor must have an operating facility within a fifty-mil</w:t>
            </w:r>
            <w:r>
              <w:t>e radius of a prospective Texas consumer. However, it has been found this requirement is often not met and that these locations often have wait times that exceed acceptable wait times and close without notice. S.B. 922 seeks to ensure a higher quality of s</w:t>
            </w:r>
            <w:r>
              <w:t>ervice</w:t>
            </w:r>
            <w:r w:rsidR="00E30ECA">
              <w:t>s</w:t>
            </w:r>
            <w:r>
              <w:t xml:space="preserve"> </w:t>
            </w:r>
            <w:r w:rsidR="00E30ECA">
              <w:t xml:space="preserve">is </w:t>
            </w:r>
            <w:r>
              <w:t xml:space="preserve">available in Texas by requiring the </w:t>
            </w:r>
            <w:r w:rsidR="00047DBA">
              <w:t xml:space="preserve">chosen DPS </w:t>
            </w:r>
            <w:r>
              <w:t xml:space="preserve">vendor to provide sufficient notice to the public before a location may close, administer a mobile unit in the area of a facility that closes, </w:t>
            </w:r>
            <w:r w:rsidR="004C18D8">
              <w:t xml:space="preserve">and </w:t>
            </w:r>
            <w:r>
              <w:t>allow DPS to contract with a second vendor should t</w:t>
            </w:r>
            <w:r>
              <w:t>he initial vendor not fulfill its duties and</w:t>
            </w:r>
            <w:r w:rsidR="004C18D8">
              <w:t xml:space="preserve"> by</w:t>
            </w:r>
            <w:r>
              <w:t xml:space="preserve"> requir</w:t>
            </w:r>
            <w:r w:rsidR="004C18D8">
              <w:t>ing</w:t>
            </w:r>
            <w:r>
              <w:t xml:space="preserve"> DPS to provide the legislature and governor with an annual report regarding the vendor's ability to meet its contractual obligations.</w:t>
            </w:r>
          </w:p>
          <w:p w14:paraId="21305A40" w14:textId="77777777" w:rsidR="008423E4" w:rsidRPr="00E26B13" w:rsidRDefault="008423E4" w:rsidP="00863533">
            <w:pPr>
              <w:rPr>
                <w:b/>
              </w:rPr>
            </w:pPr>
          </w:p>
        </w:tc>
      </w:tr>
      <w:tr w:rsidR="00001524" w14:paraId="35853C5D" w14:textId="77777777" w:rsidTr="00345119">
        <w:tc>
          <w:tcPr>
            <w:tcW w:w="9576" w:type="dxa"/>
          </w:tcPr>
          <w:p w14:paraId="291C17F1" w14:textId="77777777" w:rsidR="0017725B" w:rsidRDefault="00983469" w:rsidP="00863533">
            <w:pPr>
              <w:rPr>
                <w:b/>
                <w:u w:val="single"/>
              </w:rPr>
            </w:pPr>
            <w:r>
              <w:rPr>
                <w:b/>
                <w:u w:val="single"/>
              </w:rPr>
              <w:t>CRIMINAL JUSTICE IMPACT</w:t>
            </w:r>
          </w:p>
          <w:p w14:paraId="35CF426E" w14:textId="77777777" w:rsidR="0017725B" w:rsidRDefault="0017725B" w:rsidP="00863533">
            <w:pPr>
              <w:rPr>
                <w:b/>
                <w:u w:val="single"/>
              </w:rPr>
            </w:pPr>
          </w:p>
          <w:p w14:paraId="6B34538B" w14:textId="77777777" w:rsidR="00D40A82" w:rsidRPr="00D40A82" w:rsidRDefault="00983469" w:rsidP="00863533">
            <w:pPr>
              <w:jc w:val="both"/>
            </w:pPr>
            <w:r>
              <w:t>It is the committee's opinion that th</w:t>
            </w:r>
            <w:r>
              <w:t>is bill does not expressly create a criminal offense, increase the punishment for an existing criminal offense or category of offenses, or change the eligibility of a person for community supervision, parole, or mandatory supervision.</w:t>
            </w:r>
          </w:p>
          <w:p w14:paraId="5175F6AD" w14:textId="77777777" w:rsidR="0017725B" w:rsidRPr="0017725B" w:rsidRDefault="0017725B" w:rsidP="00863533">
            <w:pPr>
              <w:rPr>
                <w:b/>
                <w:u w:val="single"/>
              </w:rPr>
            </w:pPr>
          </w:p>
        </w:tc>
      </w:tr>
      <w:tr w:rsidR="00001524" w14:paraId="2E6AC274" w14:textId="77777777" w:rsidTr="00345119">
        <w:tc>
          <w:tcPr>
            <w:tcW w:w="9576" w:type="dxa"/>
          </w:tcPr>
          <w:p w14:paraId="53699CBE" w14:textId="77777777" w:rsidR="008423E4" w:rsidRPr="00A8133F" w:rsidRDefault="00983469" w:rsidP="00863533">
            <w:pPr>
              <w:rPr>
                <w:b/>
              </w:rPr>
            </w:pPr>
            <w:r w:rsidRPr="009C1E9A">
              <w:rPr>
                <w:b/>
                <w:u w:val="single"/>
              </w:rPr>
              <w:t>RULEMAKING AUTHORIT</w:t>
            </w:r>
            <w:r w:rsidRPr="009C1E9A">
              <w:rPr>
                <w:b/>
                <w:u w:val="single"/>
              </w:rPr>
              <w:t>Y</w:t>
            </w:r>
            <w:r>
              <w:rPr>
                <w:b/>
              </w:rPr>
              <w:t xml:space="preserve"> </w:t>
            </w:r>
          </w:p>
          <w:p w14:paraId="15AF0084" w14:textId="77777777" w:rsidR="008423E4" w:rsidRDefault="008423E4" w:rsidP="00863533"/>
          <w:p w14:paraId="75B3731C" w14:textId="77777777" w:rsidR="00D40A82" w:rsidRDefault="00983469" w:rsidP="0086353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053EAFE" w14:textId="77777777" w:rsidR="008423E4" w:rsidRPr="00E21FDC" w:rsidRDefault="008423E4" w:rsidP="00863533">
            <w:pPr>
              <w:rPr>
                <w:b/>
              </w:rPr>
            </w:pPr>
          </w:p>
        </w:tc>
      </w:tr>
      <w:tr w:rsidR="00001524" w14:paraId="2890DD39" w14:textId="77777777" w:rsidTr="00345119">
        <w:tc>
          <w:tcPr>
            <w:tcW w:w="9576" w:type="dxa"/>
          </w:tcPr>
          <w:p w14:paraId="50B2AE1D" w14:textId="77777777" w:rsidR="008423E4" w:rsidRPr="00A8133F" w:rsidRDefault="00983469" w:rsidP="00863533">
            <w:pPr>
              <w:rPr>
                <w:b/>
              </w:rPr>
            </w:pPr>
            <w:r w:rsidRPr="009C1E9A">
              <w:rPr>
                <w:b/>
                <w:u w:val="single"/>
              </w:rPr>
              <w:t>ANALYSIS</w:t>
            </w:r>
            <w:r>
              <w:rPr>
                <w:b/>
              </w:rPr>
              <w:t xml:space="preserve"> </w:t>
            </w:r>
          </w:p>
          <w:p w14:paraId="71CE6BD1" w14:textId="77777777" w:rsidR="008423E4" w:rsidRDefault="008423E4" w:rsidP="00863533"/>
          <w:p w14:paraId="170B369A" w14:textId="012E1C2D" w:rsidR="009C36CD" w:rsidRDefault="00983469" w:rsidP="00863533">
            <w:pPr>
              <w:pStyle w:val="Header"/>
              <w:tabs>
                <w:tab w:val="clear" w:pos="4320"/>
                <w:tab w:val="clear" w:pos="8640"/>
              </w:tabs>
              <w:jc w:val="both"/>
            </w:pPr>
            <w:r>
              <w:t>S.B. 922 amends the Government Code to</w:t>
            </w:r>
            <w:r>
              <w:t xml:space="preserve"> require the Department of Public Safety (DPS) to take the following actions if </w:t>
            </w:r>
            <w:r w:rsidR="00E30ECA">
              <w:t xml:space="preserve">it </w:t>
            </w:r>
            <w:r w:rsidRPr="00D40A82">
              <w:t xml:space="preserve">enters into a contract with a vendor to provide fingerprinting services throughout </w:t>
            </w:r>
            <w:r>
              <w:t>Texas</w:t>
            </w:r>
            <w:r w:rsidRPr="00D40A82">
              <w:t xml:space="preserve"> for use in accessing criminal history record information</w:t>
            </w:r>
            <w:r>
              <w:t>:</w:t>
            </w:r>
          </w:p>
          <w:p w14:paraId="243A6739" w14:textId="77777777" w:rsidR="00D40A82" w:rsidRDefault="00983469" w:rsidP="00863533">
            <w:pPr>
              <w:pStyle w:val="Header"/>
              <w:numPr>
                <w:ilvl w:val="0"/>
                <w:numId w:val="1"/>
              </w:numPr>
              <w:jc w:val="both"/>
            </w:pPr>
            <w:r>
              <w:t xml:space="preserve">include in the contract a </w:t>
            </w:r>
            <w:r>
              <w:t>provision that does the following:</w:t>
            </w:r>
          </w:p>
          <w:p w14:paraId="6F96AECD" w14:textId="77777777" w:rsidR="00D40A82" w:rsidRDefault="00983469" w:rsidP="00863533">
            <w:pPr>
              <w:pStyle w:val="Header"/>
              <w:numPr>
                <w:ilvl w:val="1"/>
                <w:numId w:val="1"/>
              </w:numPr>
              <w:jc w:val="both"/>
            </w:pPr>
            <w:r>
              <w:t>requires notice to the public of a permanent closure of a location accessible to the public that provides fingerprinting services at least 45 days before the date on which the location closes;</w:t>
            </w:r>
          </w:p>
          <w:p w14:paraId="02BCD80D" w14:textId="77777777" w:rsidR="00D40A82" w:rsidRDefault="00983469" w:rsidP="00863533">
            <w:pPr>
              <w:pStyle w:val="Header"/>
              <w:numPr>
                <w:ilvl w:val="1"/>
                <w:numId w:val="1"/>
              </w:numPr>
              <w:jc w:val="both"/>
            </w:pPr>
            <w:r>
              <w:t>requires a mobile unit to pr</w:t>
            </w:r>
            <w:r>
              <w:t>ovide fingerprinting services in or as near as practicable to the area of a location accessible to the public that permanently closes until a replacement location is opened in that area at full capacity if the closure would cause the vendor to not meet con</w:t>
            </w:r>
            <w:r>
              <w:t>tractual coverage requirements; and</w:t>
            </w:r>
          </w:p>
          <w:p w14:paraId="21B91BA7" w14:textId="77777777" w:rsidR="00D40A82" w:rsidRDefault="00983469" w:rsidP="00863533">
            <w:pPr>
              <w:pStyle w:val="Header"/>
              <w:numPr>
                <w:ilvl w:val="1"/>
                <w:numId w:val="1"/>
              </w:numPr>
              <w:jc w:val="both"/>
            </w:pPr>
            <w:r>
              <w:t>allows DPS to contract with a second vendor to provide fingerprinting services or to provide fingerprinting services by other means if DPS determines that the original vendor has not fulfilled the contract in a reasonabl</w:t>
            </w:r>
            <w:r>
              <w:t>e manner; and</w:t>
            </w:r>
          </w:p>
          <w:p w14:paraId="5566A099" w14:textId="39422909" w:rsidR="00D40A82" w:rsidRDefault="00983469" w:rsidP="00863533">
            <w:pPr>
              <w:pStyle w:val="Header"/>
              <w:numPr>
                <w:ilvl w:val="0"/>
                <w:numId w:val="1"/>
              </w:numPr>
              <w:jc w:val="both"/>
            </w:pPr>
            <w:r>
              <w:t xml:space="preserve">annually review and prepare a report on the services provided by the vendor under the contract that includes a determination on the vendor's ability to adequately address the need for fingerprinting services throughout </w:t>
            </w:r>
            <w:r w:rsidR="004C18D8">
              <w:t>Texas</w:t>
            </w:r>
            <w:r>
              <w:t xml:space="preserve"> based</w:t>
            </w:r>
            <w:r w:rsidR="004C18D8">
              <w:t xml:space="preserve"> on</w:t>
            </w:r>
            <w:r>
              <w:t xml:space="preserve"> the avai</w:t>
            </w:r>
            <w:r>
              <w:t>lability of fingerprinting appointments throughout Texas, including any wait times for appointments at locations, and</w:t>
            </w:r>
            <w:r w:rsidR="004C18D8">
              <w:t xml:space="preserve"> </w:t>
            </w:r>
            <w:r w:rsidR="008C13E6">
              <w:t xml:space="preserve">based </w:t>
            </w:r>
            <w:r w:rsidR="004C18D8">
              <w:t>on</w:t>
            </w:r>
            <w:r>
              <w:t xml:space="preserve"> a study of the miles required to travel throughout Texas </w:t>
            </w:r>
            <w:r w:rsidR="004C18D8">
              <w:t xml:space="preserve">in order </w:t>
            </w:r>
            <w:r>
              <w:t>to receive fingerprinting services and whether there are short-</w:t>
            </w:r>
            <w:r>
              <w:t>term or chronic gaps in coverage in certain areas of Texas.</w:t>
            </w:r>
          </w:p>
          <w:p w14:paraId="5D2BF0A3" w14:textId="77777777" w:rsidR="00D40A82" w:rsidRPr="009C36CD" w:rsidRDefault="00983469" w:rsidP="00863533">
            <w:pPr>
              <w:pStyle w:val="Header"/>
              <w:jc w:val="both"/>
            </w:pPr>
            <w:r>
              <w:t>The bill requires DPS to provide the report to the governor and members of the legislature.</w:t>
            </w:r>
          </w:p>
          <w:p w14:paraId="79BB7BFF" w14:textId="77777777" w:rsidR="008423E4" w:rsidRPr="00835628" w:rsidRDefault="008423E4" w:rsidP="00863533">
            <w:pPr>
              <w:rPr>
                <w:b/>
              </w:rPr>
            </w:pPr>
          </w:p>
        </w:tc>
      </w:tr>
      <w:tr w:rsidR="00001524" w14:paraId="1D7C92CF" w14:textId="77777777" w:rsidTr="00345119">
        <w:tc>
          <w:tcPr>
            <w:tcW w:w="9576" w:type="dxa"/>
          </w:tcPr>
          <w:p w14:paraId="5883A9A6" w14:textId="77777777" w:rsidR="008423E4" w:rsidRPr="00A8133F" w:rsidRDefault="00983469" w:rsidP="00863533">
            <w:pPr>
              <w:rPr>
                <w:b/>
              </w:rPr>
            </w:pPr>
            <w:r w:rsidRPr="009C1E9A">
              <w:rPr>
                <w:b/>
                <w:u w:val="single"/>
              </w:rPr>
              <w:t>EFFECTIVE DATE</w:t>
            </w:r>
            <w:r>
              <w:rPr>
                <w:b/>
              </w:rPr>
              <w:t xml:space="preserve"> </w:t>
            </w:r>
          </w:p>
          <w:p w14:paraId="4E102C41" w14:textId="77777777" w:rsidR="008423E4" w:rsidRDefault="008423E4" w:rsidP="00863533"/>
          <w:p w14:paraId="5D7EA97B" w14:textId="77777777" w:rsidR="008423E4" w:rsidRPr="003624F2" w:rsidRDefault="00983469" w:rsidP="00863533">
            <w:pPr>
              <w:pStyle w:val="Header"/>
              <w:tabs>
                <w:tab w:val="clear" w:pos="4320"/>
                <w:tab w:val="clear" w:pos="8640"/>
              </w:tabs>
              <w:jc w:val="both"/>
            </w:pPr>
            <w:r>
              <w:t>September 1, 2021.</w:t>
            </w:r>
          </w:p>
          <w:p w14:paraId="5F38B4CA" w14:textId="77777777" w:rsidR="008423E4" w:rsidRPr="00233FDB" w:rsidRDefault="008423E4" w:rsidP="00863533">
            <w:pPr>
              <w:rPr>
                <w:b/>
              </w:rPr>
            </w:pPr>
          </w:p>
        </w:tc>
      </w:tr>
    </w:tbl>
    <w:p w14:paraId="4F18D87A" w14:textId="77777777" w:rsidR="008423E4" w:rsidRPr="00BE0E75" w:rsidRDefault="008423E4" w:rsidP="00863533">
      <w:pPr>
        <w:jc w:val="both"/>
        <w:rPr>
          <w:rFonts w:ascii="Arial" w:hAnsi="Arial"/>
          <w:sz w:val="16"/>
          <w:szCs w:val="16"/>
        </w:rPr>
      </w:pPr>
    </w:p>
    <w:p w14:paraId="0735B2E4" w14:textId="77777777" w:rsidR="004108C3" w:rsidRPr="008423E4" w:rsidRDefault="004108C3" w:rsidP="0086353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D31B" w14:textId="77777777" w:rsidR="00000000" w:rsidRDefault="00983469">
      <w:r>
        <w:separator/>
      </w:r>
    </w:p>
  </w:endnote>
  <w:endnote w:type="continuationSeparator" w:id="0">
    <w:p w14:paraId="69F70B57" w14:textId="77777777" w:rsidR="00000000" w:rsidRDefault="0098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F8AC"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001524" w14:paraId="62647234" w14:textId="77777777" w:rsidTr="009C1E9A">
      <w:trPr>
        <w:cantSplit/>
      </w:trPr>
      <w:tc>
        <w:tcPr>
          <w:tcW w:w="0" w:type="pct"/>
        </w:tcPr>
        <w:p w14:paraId="256A220C" w14:textId="77777777" w:rsidR="00137D90" w:rsidRDefault="00137D90" w:rsidP="009C1E9A">
          <w:pPr>
            <w:pStyle w:val="Footer"/>
            <w:tabs>
              <w:tab w:val="clear" w:pos="8640"/>
              <w:tab w:val="right" w:pos="9360"/>
            </w:tabs>
          </w:pPr>
        </w:p>
      </w:tc>
      <w:tc>
        <w:tcPr>
          <w:tcW w:w="2395" w:type="pct"/>
        </w:tcPr>
        <w:p w14:paraId="73A8E90B" w14:textId="77777777" w:rsidR="00137D90" w:rsidRDefault="00137D90" w:rsidP="009C1E9A">
          <w:pPr>
            <w:pStyle w:val="Footer"/>
            <w:tabs>
              <w:tab w:val="clear" w:pos="8640"/>
              <w:tab w:val="right" w:pos="9360"/>
            </w:tabs>
          </w:pPr>
        </w:p>
        <w:p w14:paraId="32013E29" w14:textId="77777777" w:rsidR="001A4310" w:rsidRDefault="001A4310" w:rsidP="009C1E9A">
          <w:pPr>
            <w:pStyle w:val="Footer"/>
            <w:tabs>
              <w:tab w:val="clear" w:pos="8640"/>
              <w:tab w:val="right" w:pos="9360"/>
            </w:tabs>
          </w:pPr>
        </w:p>
        <w:p w14:paraId="74BA8BC6" w14:textId="77777777" w:rsidR="00137D90" w:rsidRDefault="00137D90" w:rsidP="009C1E9A">
          <w:pPr>
            <w:pStyle w:val="Footer"/>
            <w:tabs>
              <w:tab w:val="clear" w:pos="8640"/>
              <w:tab w:val="right" w:pos="9360"/>
            </w:tabs>
          </w:pPr>
        </w:p>
      </w:tc>
      <w:tc>
        <w:tcPr>
          <w:tcW w:w="2453" w:type="pct"/>
        </w:tcPr>
        <w:p w14:paraId="339125D0" w14:textId="77777777" w:rsidR="00137D90" w:rsidRDefault="00137D90" w:rsidP="009C1E9A">
          <w:pPr>
            <w:pStyle w:val="Footer"/>
            <w:tabs>
              <w:tab w:val="clear" w:pos="8640"/>
              <w:tab w:val="right" w:pos="9360"/>
            </w:tabs>
            <w:jc w:val="right"/>
          </w:pPr>
        </w:p>
      </w:tc>
    </w:tr>
    <w:tr w:rsidR="00001524" w14:paraId="152D4D20" w14:textId="77777777" w:rsidTr="009C1E9A">
      <w:trPr>
        <w:cantSplit/>
      </w:trPr>
      <w:tc>
        <w:tcPr>
          <w:tcW w:w="0" w:type="pct"/>
        </w:tcPr>
        <w:p w14:paraId="427E2655" w14:textId="77777777" w:rsidR="00EC379B" w:rsidRDefault="00EC379B" w:rsidP="009C1E9A">
          <w:pPr>
            <w:pStyle w:val="Footer"/>
            <w:tabs>
              <w:tab w:val="clear" w:pos="8640"/>
              <w:tab w:val="right" w:pos="9360"/>
            </w:tabs>
          </w:pPr>
        </w:p>
      </w:tc>
      <w:tc>
        <w:tcPr>
          <w:tcW w:w="2395" w:type="pct"/>
        </w:tcPr>
        <w:p w14:paraId="7C9164DD" w14:textId="77777777" w:rsidR="00EC379B" w:rsidRPr="009C1E9A" w:rsidRDefault="00983469" w:rsidP="009C1E9A">
          <w:pPr>
            <w:pStyle w:val="Footer"/>
            <w:tabs>
              <w:tab w:val="clear" w:pos="8640"/>
              <w:tab w:val="right" w:pos="9360"/>
            </w:tabs>
            <w:rPr>
              <w:rFonts w:ascii="Shruti" w:hAnsi="Shruti"/>
              <w:sz w:val="22"/>
            </w:rPr>
          </w:pPr>
          <w:r>
            <w:rPr>
              <w:rFonts w:ascii="Shruti" w:hAnsi="Shruti"/>
              <w:sz w:val="22"/>
            </w:rPr>
            <w:t>87R 26012</w:t>
          </w:r>
        </w:p>
      </w:tc>
      <w:tc>
        <w:tcPr>
          <w:tcW w:w="2453" w:type="pct"/>
        </w:tcPr>
        <w:p w14:paraId="70D77841" w14:textId="20D54328" w:rsidR="00EC379B" w:rsidRDefault="00983469" w:rsidP="009C1E9A">
          <w:pPr>
            <w:pStyle w:val="Footer"/>
            <w:tabs>
              <w:tab w:val="clear" w:pos="8640"/>
              <w:tab w:val="right" w:pos="9360"/>
            </w:tabs>
            <w:jc w:val="right"/>
          </w:pPr>
          <w:r>
            <w:fldChar w:fldCharType="begin"/>
          </w:r>
          <w:r>
            <w:instrText xml:space="preserve"> DOCPROPERTY  OTID  \* MERGEFORMAT </w:instrText>
          </w:r>
          <w:r>
            <w:fldChar w:fldCharType="separate"/>
          </w:r>
          <w:r w:rsidR="00863533">
            <w:t>21.131.606</w:t>
          </w:r>
          <w:r>
            <w:fldChar w:fldCharType="end"/>
          </w:r>
        </w:p>
      </w:tc>
    </w:tr>
    <w:tr w:rsidR="00001524" w14:paraId="60B269B7" w14:textId="77777777" w:rsidTr="009C1E9A">
      <w:trPr>
        <w:cantSplit/>
      </w:trPr>
      <w:tc>
        <w:tcPr>
          <w:tcW w:w="0" w:type="pct"/>
        </w:tcPr>
        <w:p w14:paraId="05F493AE" w14:textId="77777777" w:rsidR="00EC379B" w:rsidRDefault="00EC379B" w:rsidP="009C1E9A">
          <w:pPr>
            <w:pStyle w:val="Footer"/>
            <w:tabs>
              <w:tab w:val="clear" w:pos="4320"/>
              <w:tab w:val="clear" w:pos="8640"/>
              <w:tab w:val="left" w:pos="2865"/>
            </w:tabs>
          </w:pPr>
        </w:p>
      </w:tc>
      <w:tc>
        <w:tcPr>
          <w:tcW w:w="2395" w:type="pct"/>
        </w:tcPr>
        <w:p w14:paraId="12D21F8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210430E" w14:textId="77777777" w:rsidR="00EC379B" w:rsidRDefault="00EC379B" w:rsidP="006D504F">
          <w:pPr>
            <w:pStyle w:val="Footer"/>
            <w:rPr>
              <w:rStyle w:val="PageNumber"/>
            </w:rPr>
          </w:pPr>
        </w:p>
        <w:p w14:paraId="64E92EB9" w14:textId="77777777" w:rsidR="00EC379B" w:rsidRDefault="00EC379B" w:rsidP="009C1E9A">
          <w:pPr>
            <w:pStyle w:val="Footer"/>
            <w:tabs>
              <w:tab w:val="clear" w:pos="8640"/>
              <w:tab w:val="right" w:pos="9360"/>
            </w:tabs>
            <w:jc w:val="right"/>
          </w:pPr>
        </w:p>
      </w:tc>
    </w:tr>
    <w:tr w:rsidR="00001524" w14:paraId="6596A13D" w14:textId="77777777" w:rsidTr="009C1E9A">
      <w:trPr>
        <w:cantSplit/>
        <w:trHeight w:val="323"/>
      </w:trPr>
      <w:tc>
        <w:tcPr>
          <w:tcW w:w="0" w:type="pct"/>
          <w:gridSpan w:val="3"/>
        </w:tcPr>
        <w:p w14:paraId="378E6AA5" w14:textId="54B6ABF9" w:rsidR="00EC379B" w:rsidRDefault="0098346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948D2">
            <w:rPr>
              <w:rStyle w:val="PageNumber"/>
              <w:noProof/>
            </w:rPr>
            <w:t>2</w:t>
          </w:r>
          <w:r>
            <w:rPr>
              <w:rStyle w:val="PageNumber"/>
            </w:rPr>
            <w:fldChar w:fldCharType="end"/>
          </w:r>
        </w:p>
        <w:p w14:paraId="6D9E1B9F" w14:textId="77777777" w:rsidR="00EC379B" w:rsidRDefault="00EC379B" w:rsidP="009C1E9A">
          <w:pPr>
            <w:pStyle w:val="Footer"/>
            <w:tabs>
              <w:tab w:val="clear" w:pos="8640"/>
              <w:tab w:val="right" w:pos="9360"/>
            </w:tabs>
            <w:jc w:val="center"/>
          </w:pPr>
        </w:p>
      </w:tc>
    </w:tr>
  </w:tbl>
  <w:p w14:paraId="5EB4926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34D4"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3FC32" w14:textId="77777777" w:rsidR="00000000" w:rsidRDefault="00983469">
      <w:r>
        <w:separator/>
      </w:r>
    </w:p>
  </w:footnote>
  <w:footnote w:type="continuationSeparator" w:id="0">
    <w:p w14:paraId="4B990532" w14:textId="77777777" w:rsidR="00000000" w:rsidRDefault="0098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8FBE"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8CF5F"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92DC3"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B6E1E"/>
    <w:multiLevelType w:val="hybridMultilevel"/>
    <w:tmpl w:val="81E2556C"/>
    <w:lvl w:ilvl="0" w:tplc="F78C4C1E">
      <w:start w:val="1"/>
      <w:numFmt w:val="bullet"/>
      <w:lvlText w:val=""/>
      <w:lvlJc w:val="left"/>
      <w:pPr>
        <w:tabs>
          <w:tab w:val="num" w:pos="720"/>
        </w:tabs>
        <w:ind w:left="720" w:hanging="360"/>
      </w:pPr>
      <w:rPr>
        <w:rFonts w:ascii="Symbol" w:hAnsi="Symbol" w:hint="default"/>
      </w:rPr>
    </w:lvl>
    <w:lvl w:ilvl="1" w:tplc="AC9C4C76">
      <w:start w:val="1"/>
      <w:numFmt w:val="bullet"/>
      <w:lvlText w:val="o"/>
      <w:lvlJc w:val="left"/>
      <w:pPr>
        <w:ind w:left="1440" w:hanging="360"/>
      </w:pPr>
      <w:rPr>
        <w:rFonts w:ascii="Courier New" w:hAnsi="Courier New" w:cs="Courier New" w:hint="default"/>
      </w:rPr>
    </w:lvl>
    <w:lvl w:ilvl="2" w:tplc="AAB42ED4" w:tentative="1">
      <w:start w:val="1"/>
      <w:numFmt w:val="bullet"/>
      <w:lvlText w:val=""/>
      <w:lvlJc w:val="left"/>
      <w:pPr>
        <w:ind w:left="2160" w:hanging="360"/>
      </w:pPr>
      <w:rPr>
        <w:rFonts w:ascii="Wingdings" w:hAnsi="Wingdings" w:hint="default"/>
      </w:rPr>
    </w:lvl>
    <w:lvl w:ilvl="3" w:tplc="FB38521E" w:tentative="1">
      <w:start w:val="1"/>
      <w:numFmt w:val="bullet"/>
      <w:lvlText w:val=""/>
      <w:lvlJc w:val="left"/>
      <w:pPr>
        <w:ind w:left="2880" w:hanging="360"/>
      </w:pPr>
      <w:rPr>
        <w:rFonts w:ascii="Symbol" w:hAnsi="Symbol" w:hint="default"/>
      </w:rPr>
    </w:lvl>
    <w:lvl w:ilvl="4" w:tplc="DCCC1926" w:tentative="1">
      <w:start w:val="1"/>
      <w:numFmt w:val="bullet"/>
      <w:lvlText w:val="o"/>
      <w:lvlJc w:val="left"/>
      <w:pPr>
        <w:ind w:left="3600" w:hanging="360"/>
      </w:pPr>
      <w:rPr>
        <w:rFonts w:ascii="Courier New" w:hAnsi="Courier New" w:cs="Courier New" w:hint="default"/>
      </w:rPr>
    </w:lvl>
    <w:lvl w:ilvl="5" w:tplc="26841464" w:tentative="1">
      <w:start w:val="1"/>
      <w:numFmt w:val="bullet"/>
      <w:lvlText w:val=""/>
      <w:lvlJc w:val="left"/>
      <w:pPr>
        <w:ind w:left="4320" w:hanging="360"/>
      </w:pPr>
      <w:rPr>
        <w:rFonts w:ascii="Wingdings" w:hAnsi="Wingdings" w:hint="default"/>
      </w:rPr>
    </w:lvl>
    <w:lvl w:ilvl="6" w:tplc="90185234" w:tentative="1">
      <w:start w:val="1"/>
      <w:numFmt w:val="bullet"/>
      <w:lvlText w:val=""/>
      <w:lvlJc w:val="left"/>
      <w:pPr>
        <w:ind w:left="5040" w:hanging="360"/>
      </w:pPr>
      <w:rPr>
        <w:rFonts w:ascii="Symbol" w:hAnsi="Symbol" w:hint="default"/>
      </w:rPr>
    </w:lvl>
    <w:lvl w:ilvl="7" w:tplc="2FAA0438" w:tentative="1">
      <w:start w:val="1"/>
      <w:numFmt w:val="bullet"/>
      <w:lvlText w:val="o"/>
      <w:lvlJc w:val="left"/>
      <w:pPr>
        <w:ind w:left="5760" w:hanging="360"/>
      </w:pPr>
      <w:rPr>
        <w:rFonts w:ascii="Courier New" w:hAnsi="Courier New" w:cs="Courier New" w:hint="default"/>
      </w:rPr>
    </w:lvl>
    <w:lvl w:ilvl="8" w:tplc="3244A46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53"/>
    <w:rsid w:val="00000A70"/>
    <w:rsid w:val="00001524"/>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F03"/>
    <w:rsid w:val="00043B84"/>
    <w:rsid w:val="0004512B"/>
    <w:rsid w:val="000463F0"/>
    <w:rsid w:val="00046BDA"/>
    <w:rsid w:val="0004762E"/>
    <w:rsid w:val="00047DBA"/>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5A2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3653"/>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6C1D"/>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0B8F"/>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18D8"/>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6E7F"/>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48D2"/>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533"/>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4C9"/>
    <w:rsid w:val="008947A7"/>
    <w:rsid w:val="00897E80"/>
    <w:rsid w:val="008A04FA"/>
    <w:rsid w:val="008A3188"/>
    <w:rsid w:val="008A3FDF"/>
    <w:rsid w:val="008A6418"/>
    <w:rsid w:val="008B05D8"/>
    <w:rsid w:val="008B0B3D"/>
    <w:rsid w:val="008B2B1A"/>
    <w:rsid w:val="008B3428"/>
    <w:rsid w:val="008B7785"/>
    <w:rsid w:val="008C0809"/>
    <w:rsid w:val="008C132C"/>
    <w:rsid w:val="008C13E6"/>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469"/>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05D1"/>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A82"/>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EC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1356"/>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EFFEC5-EBAE-4DC7-BBFB-D8A20348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40A82"/>
    <w:rPr>
      <w:sz w:val="16"/>
      <w:szCs w:val="16"/>
    </w:rPr>
  </w:style>
  <w:style w:type="paragraph" w:styleId="CommentText">
    <w:name w:val="annotation text"/>
    <w:basedOn w:val="Normal"/>
    <w:link w:val="CommentTextChar"/>
    <w:semiHidden/>
    <w:unhideWhenUsed/>
    <w:rsid w:val="00D40A82"/>
    <w:rPr>
      <w:sz w:val="20"/>
      <w:szCs w:val="20"/>
    </w:rPr>
  </w:style>
  <w:style w:type="character" w:customStyle="1" w:styleId="CommentTextChar">
    <w:name w:val="Comment Text Char"/>
    <w:basedOn w:val="DefaultParagraphFont"/>
    <w:link w:val="CommentText"/>
    <w:semiHidden/>
    <w:rsid w:val="00D40A82"/>
  </w:style>
  <w:style w:type="paragraph" w:styleId="CommentSubject">
    <w:name w:val="annotation subject"/>
    <w:basedOn w:val="CommentText"/>
    <w:next w:val="CommentText"/>
    <w:link w:val="CommentSubjectChar"/>
    <w:semiHidden/>
    <w:unhideWhenUsed/>
    <w:rsid w:val="00D40A82"/>
    <w:rPr>
      <w:b/>
      <w:bCs/>
    </w:rPr>
  </w:style>
  <w:style w:type="character" w:customStyle="1" w:styleId="CommentSubjectChar">
    <w:name w:val="Comment Subject Char"/>
    <w:basedOn w:val="CommentTextChar"/>
    <w:link w:val="CommentSubject"/>
    <w:semiHidden/>
    <w:rsid w:val="00D40A82"/>
    <w:rPr>
      <w:b/>
      <w:bCs/>
    </w:rPr>
  </w:style>
  <w:style w:type="character" w:styleId="Hyperlink">
    <w:name w:val="Hyperlink"/>
    <w:basedOn w:val="DefaultParagraphFont"/>
    <w:unhideWhenUsed/>
    <w:rsid w:val="004F6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2890</Characters>
  <Application>Microsoft Office Word</Application>
  <DocSecurity>4</DocSecurity>
  <Lines>67</Lines>
  <Paragraphs>21</Paragraphs>
  <ScaleCrop>false</ScaleCrop>
  <HeadingPairs>
    <vt:vector size="2" baseType="variant">
      <vt:variant>
        <vt:lpstr>Title</vt:lpstr>
      </vt:variant>
      <vt:variant>
        <vt:i4>1</vt:i4>
      </vt:variant>
    </vt:vector>
  </HeadingPairs>
  <TitlesOfParts>
    <vt:vector size="1" baseType="lpstr">
      <vt:lpstr>BA - SB00922 (Committee Report (Unamended))</vt:lpstr>
    </vt:vector>
  </TitlesOfParts>
  <Company>State of Texas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26012</dc:subject>
  <dc:creator>State of Texas</dc:creator>
  <dc:description>SB 922 by Seliger-(H)Homeland Security &amp; Public Safety</dc:description>
  <cp:lastModifiedBy>Thomas Weis</cp:lastModifiedBy>
  <cp:revision>2</cp:revision>
  <cp:lastPrinted>2003-11-26T17:21:00Z</cp:lastPrinted>
  <dcterms:created xsi:type="dcterms:W3CDTF">2021-05-11T23:29:00Z</dcterms:created>
  <dcterms:modified xsi:type="dcterms:W3CDTF">2021-05-11T23:29:00Z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21.131.606</vt:lpwstr>
  </property>
</Properties>
</file>