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D168B" w14:paraId="27E353D9" w14:textId="77777777" w:rsidTr="00345119">
        <w:tc>
          <w:tcPr>
            <w:tcW w:w="9576" w:type="dxa"/>
            <w:noWrap/>
          </w:tcPr>
          <w:p w14:paraId="0C4AAD34" w14:textId="77777777" w:rsidR="008423E4" w:rsidRPr="0022177D" w:rsidRDefault="00FA6CCD" w:rsidP="00012DB7">
            <w:pPr>
              <w:pStyle w:val="Heading1"/>
            </w:pPr>
            <w:bookmarkStart w:id="0" w:name="_GoBack"/>
            <w:bookmarkEnd w:id="0"/>
            <w:r w:rsidRPr="00631897">
              <w:t>BILL ANALYSIS</w:t>
            </w:r>
          </w:p>
        </w:tc>
      </w:tr>
    </w:tbl>
    <w:p w14:paraId="571468E6" w14:textId="77777777" w:rsidR="008423E4" w:rsidRPr="0022177D" w:rsidRDefault="008423E4" w:rsidP="00012DB7">
      <w:pPr>
        <w:jc w:val="center"/>
      </w:pPr>
    </w:p>
    <w:p w14:paraId="45091AD1" w14:textId="77777777" w:rsidR="008423E4" w:rsidRPr="00B31F0E" w:rsidRDefault="008423E4" w:rsidP="00012DB7"/>
    <w:p w14:paraId="0956A6E9" w14:textId="77777777" w:rsidR="008423E4" w:rsidRPr="00742794" w:rsidRDefault="008423E4" w:rsidP="00012DB7">
      <w:pPr>
        <w:tabs>
          <w:tab w:val="right" w:pos="9360"/>
        </w:tabs>
      </w:pPr>
    </w:p>
    <w:tbl>
      <w:tblPr>
        <w:tblW w:w="0" w:type="auto"/>
        <w:tblLayout w:type="fixed"/>
        <w:tblLook w:val="01E0" w:firstRow="1" w:lastRow="1" w:firstColumn="1" w:lastColumn="1" w:noHBand="0" w:noVBand="0"/>
      </w:tblPr>
      <w:tblGrid>
        <w:gridCol w:w="9576"/>
      </w:tblGrid>
      <w:tr w:rsidR="00AD168B" w14:paraId="341A966D" w14:textId="77777777" w:rsidTr="00345119">
        <w:tc>
          <w:tcPr>
            <w:tcW w:w="9576" w:type="dxa"/>
          </w:tcPr>
          <w:p w14:paraId="5C4DEA19" w14:textId="18EB9988" w:rsidR="008423E4" w:rsidRPr="00861995" w:rsidRDefault="00FA6CCD" w:rsidP="00012DB7">
            <w:pPr>
              <w:jc w:val="right"/>
            </w:pPr>
            <w:r>
              <w:t>S.B. 968</w:t>
            </w:r>
          </w:p>
        </w:tc>
      </w:tr>
      <w:tr w:rsidR="00AD168B" w14:paraId="3CAB9ABB" w14:textId="77777777" w:rsidTr="00345119">
        <w:tc>
          <w:tcPr>
            <w:tcW w:w="9576" w:type="dxa"/>
          </w:tcPr>
          <w:p w14:paraId="7B09A92A" w14:textId="5FCFE2A8" w:rsidR="008423E4" w:rsidRPr="00861995" w:rsidRDefault="00FA6CCD" w:rsidP="00E37138">
            <w:pPr>
              <w:jc w:val="right"/>
            </w:pPr>
            <w:r>
              <w:t xml:space="preserve">By: </w:t>
            </w:r>
            <w:r w:rsidR="00E37138">
              <w:t>Kolkhorst</w:t>
            </w:r>
          </w:p>
        </w:tc>
      </w:tr>
      <w:tr w:rsidR="00AD168B" w14:paraId="4432231A" w14:textId="77777777" w:rsidTr="00345119">
        <w:tc>
          <w:tcPr>
            <w:tcW w:w="9576" w:type="dxa"/>
          </w:tcPr>
          <w:p w14:paraId="1E5BD61F" w14:textId="7A6F8F4F" w:rsidR="008423E4" w:rsidRPr="00861995" w:rsidRDefault="00FA6CCD" w:rsidP="00012DB7">
            <w:pPr>
              <w:jc w:val="right"/>
            </w:pPr>
            <w:r>
              <w:t>State Affairs</w:t>
            </w:r>
          </w:p>
        </w:tc>
      </w:tr>
      <w:tr w:rsidR="00AD168B" w14:paraId="1757303B" w14:textId="77777777" w:rsidTr="00345119">
        <w:tc>
          <w:tcPr>
            <w:tcW w:w="9576" w:type="dxa"/>
          </w:tcPr>
          <w:p w14:paraId="52796CFE" w14:textId="12443507" w:rsidR="008423E4" w:rsidRDefault="00FA6CCD" w:rsidP="00012DB7">
            <w:pPr>
              <w:jc w:val="right"/>
            </w:pPr>
            <w:r>
              <w:t>Committee Report (Unamended)</w:t>
            </w:r>
          </w:p>
        </w:tc>
      </w:tr>
    </w:tbl>
    <w:p w14:paraId="06E206C0" w14:textId="77777777" w:rsidR="008423E4" w:rsidRDefault="008423E4" w:rsidP="00012DB7">
      <w:pPr>
        <w:tabs>
          <w:tab w:val="right" w:pos="9360"/>
        </w:tabs>
      </w:pPr>
    </w:p>
    <w:p w14:paraId="2829B9E2" w14:textId="77777777" w:rsidR="008423E4" w:rsidRDefault="008423E4" w:rsidP="00012DB7"/>
    <w:p w14:paraId="63CCED8A" w14:textId="77777777" w:rsidR="008423E4" w:rsidRDefault="008423E4" w:rsidP="00012DB7"/>
    <w:tbl>
      <w:tblPr>
        <w:tblW w:w="0" w:type="auto"/>
        <w:tblCellMar>
          <w:left w:w="115" w:type="dxa"/>
          <w:right w:w="115" w:type="dxa"/>
        </w:tblCellMar>
        <w:tblLook w:val="01E0" w:firstRow="1" w:lastRow="1" w:firstColumn="1" w:lastColumn="1" w:noHBand="0" w:noVBand="0"/>
      </w:tblPr>
      <w:tblGrid>
        <w:gridCol w:w="9360"/>
      </w:tblGrid>
      <w:tr w:rsidR="00AD168B" w14:paraId="4014635F" w14:textId="77777777" w:rsidTr="00345119">
        <w:tc>
          <w:tcPr>
            <w:tcW w:w="9576" w:type="dxa"/>
          </w:tcPr>
          <w:p w14:paraId="47C1AA30" w14:textId="77777777" w:rsidR="008423E4" w:rsidRPr="00A8133F" w:rsidRDefault="00FA6CCD" w:rsidP="00012DB7">
            <w:pPr>
              <w:rPr>
                <w:b/>
              </w:rPr>
            </w:pPr>
            <w:r w:rsidRPr="009C1E9A">
              <w:rPr>
                <w:b/>
                <w:u w:val="single"/>
              </w:rPr>
              <w:t>BACKGROUND AND PURPOSE</w:t>
            </w:r>
            <w:r>
              <w:rPr>
                <w:b/>
              </w:rPr>
              <w:t xml:space="preserve"> </w:t>
            </w:r>
          </w:p>
          <w:p w14:paraId="6BAAD238" w14:textId="77777777" w:rsidR="008423E4" w:rsidRDefault="008423E4" w:rsidP="00012DB7"/>
          <w:p w14:paraId="134FA5EF" w14:textId="4F17A7D7" w:rsidR="008423E4" w:rsidRDefault="00FA6CCD" w:rsidP="00012DB7">
            <w:pPr>
              <w:pStyle w:val="Header"/>
              <w:jc w:val="both"/>
            </w:pPr>
            <w:r>
              <w:t xml:space="preserve">The COVID-19 pandemic </w:t>
            </w:r>
            <w:r w:rsidR="00087C7E">
              <w:t>continues to highlight the</w:t>
            </w:r>
            <w:r>
              <w:t xml:space="preserve"> various challenges and opportunities </w:t>
            </w:r>
            <w:r w:rsidR="00160AC1">
              <w:t>for</w:t>
            </w:r>
            <w:r>
              <w:t xml:space="preserve"> improv</w:t>
            </w:r>
            <w:r w:rsidR="00160AC1">
              <w:t xml:space="preserve">ing </w:t>
            </w:r>
            <w:r>
              <w:t xml:space="preserve">the </w:t>
            </w:r>
            <w:r w:rsidR="00087C7E">
              <w:t>s</w:t>
            </w:r>
            <w:r>
              <w:t xml:space="preserve">tate's </w:t>
            </w:r>
            <w:r w:rsidR="00160AC1">
              <w:t>preparations for a</w:t>
            </w:r>
            <w:r>
              <w:t xml:space="preserve"> public health disaster. </w:t>
            </w:r>
            <w:r w:rsidR="00087C7E">
              <w:t xml:space="preserve">However, </w:t>
            </w:r>
            <w:r w:rsidR="00160AC1">
              <w:t xml:space="preserve">there are still </w:t>
            </w:r>
            <w:r w:rsidR="00087C7E">
              <w:t>challenges</w:t>
            </w:r>
            <w:r>
              <w:t xml:space="preserve"> </w:t>
            </w:r>
            <w:r w:rsidR="00160AC1">
              <w:t>in finding</w:t>
            </w:r>
            <w:r>
              <w:t xml:space="preserve"> the right balance between an effective public health response system and the rights of individuals. S.B. 968 seeks to ensure that Texas is better prepared for a future public health em</w:t>
            </w:r>
            <w:r>
              <w:t xml:space="preserve">ergency or disaster by improving the public health disaster response and coordination between state agencies. </w:t>
            </w:r>
            <w:r w:rsidR="00672FA4">
              <w:t>The bill</w:t>
            </w:r>
            <w:r>
              <w:t xml:space="preserve"> also seeks to protect the rights of individuals during a public health crisis and provide the Department of State Health Services more ti</w:t>
            </w:r>
            <w:r>
              <w:t>mely medical information from physicians and health</w:t>
            </w:r>
            <w:r w:rsidR="00160AC1">
              <w:t xml:space="preserve"> </w:t>
            </w:r>
            <w:r>
              <w:t>care professionals during a public health crisis.</w:t>
            </w:r>
          </w:p>
          <w:p w14:paraId="719D7167" w14:textId="77777777" w:rsidR="008423E4" w:rsidRPr="00E26B13" w:rsidRDefault="008423E4" w:rsidP="00012DB7">
            <w:pPr>
              <w:rPr>
                <w:b/>
              </w:rPr>
            </w:pPr>
          </w:p>
        </w:tc>
      </w:tr>
      <w:tr w:rsidR="00AD168B" w14:paraId="0D8DB37A" w14:textId="77777777" w:rsidTr="00345119">
        <w:tc>
          <w:tcPr>
            <w:tcW w:w="9576" w:type="dxa"/>
          </w:tcPr>
          <w:p w14:paraId="6934FD2A" w14:textId="77777777" w:rsidR="0017725B" w:rsidRDefault="00FA6CCD" w:rsidP="00012DB7">
            <w:pPr>
              <w:rPr>
                <w:b/>
                <w:u w:val="single"/>
              </w:rPr>
            </w:pPr>
            <w:r>
              <w:rPr>
                <w:b/>
                <w:u w:val="single"/>
              </w:rPr>
              <w:t>CRIMINAL JUSTICE IMPACT</w:t>
            </w:r>
          </w:p>
          <w:p w14:paraId="30E1234E" w14:textId="77777777" w:rsidR="0017725B" w:rsidRDefault="0017725B" w:rsidP="00012DB7">
            <w:pPr>
              <w:rPr>
                <w:b/>
                <w:u w:val="single"/>
              </w:rPr>
            </w:pPr>
          </w:p>
          <w:p w14:paraId="141C104B" w14:textId="08DEF1DA" w:rsidR="000C6FA2" w:rsidRPr="000C6FA2" w:rsidRDefault="00FA6CCD" w:rsidP="00012DB7">
            <w:pPr>
              <w:jc w:val="both"/>
            </w:pPr>
            <w:r>
              <w:t>It is the committee's opinion that this bill does not expressly create a criminal offense, increase the punishment for an exist</w:t>
            </w:r>
            <w:r>
              <w:t>ing criminal offense or category of offenses, or change the eligibility of a person for community supervision, parole, or mandatory supervision.</w:t>
            </w:r>
          </w:p>
          <w:p w14:paraId="476F228F" w14:textId="77777777" w:rsidR="0017725B" w:rsidRPr="0017725B" w:rsidRDefault="0017725B" w:rsidP="00012DB7">
            <w:pPr>
              <w:rPr>
                <w:b/>
                <w:u w:val="single"/>
              </w:rPr>
            </w:pPr>
          </w:p>
        </w:tc>
      </w:tr>
      <w:tr w:rsidR="00AD168B" w14:paraId="6BDCC2EE" w14:textId="77777777" w:rsidTr="00345119">
        <w:tc>
          <w:tcPr>
            <w:tcW w:w="9576" w:type="dxa"/>
          </w:tcPr>
          <w:p w14:paraId="102AF589" w14:textId="77777777" w:rsidR="008423E4" w:rsidRPr="00A8133F" w:rsidRDefault="00FA6CCD" w:rsidP="00012DB7">
            <w:pPr>
              <w:rPr>
                <w:b/>
              </w:rPr>
            </w:pPr>
            <w:r w:rsidRPr="009C1E9A">
              <w:rPr>
                <w:b/>
                <w:u w:val="single"/>
              </w:rPr>
              <w:t>RULEMAKING AUTHORITY</w:t>
            </w:r>
            <w:r>
              <w:rPr>
                <w:b/>
              </w:rPr>
              <w:t xml:space="preserve"> </w:t>
            </w:r>
          </w:p>
          <w:p w14:paraId="5B1A54AC" w14:textId="77777777" w:rsidR="008423E4" w:rsidRDefault="008423E4" w:rsidP="00012DB7"/>
          <w:p w14:paraId="2CEA2892" w14:textId="725F7915" w:rsidR="000C6FA2" w:rsidRDefault="00FA6CCD" w:rsidP="00012DB7">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579435B2" w14:textId="77777777" w:rsidR="008423E4" w:rsidRPr="00E21FDC" w:rsidRDefault="008423E4" w:rsidP="00012DB7">
            <w:pPr>
              <w:rPr>
                <w:b/>
              </w:rPr>
            </w:pPr>
          </w:p>
        </w:tc>
      </w:tr>
      <w:tr w:rsidR="00AD168B" w14:paraId="23C768A9" w14:textId="77777777" w:rsidTr="00345119">
        <w:tc>
          <w:tcPr>
            <w:tcW w:w="9576" w:type="dxa"/>
          </w:tcPr>
          <w:p w14:paraId="0F2F196D" w14:textId="77777777" w:rsidR="008423E4" w:rsidRPr="00A8133F" w:rsidRDefault="00FA6CCD" w:rsidP="00012DB7">
            <w:pPr>
              <w:rPr>
                <w:b/>
              </w:rPr>
            </w:pPr>
            <w:r w:rsidRPr="009C1E9A">
              <w:rPr>
                <w:b/>
                <w:u w:val="single"/>
              </w:rPr>
              <w:t>ANALYSIS</w:t>
            </w:r>
            <w:r>
              <w:rPr>
                <w:b/>
              </w:rPr>
              <w:t xml:space="preserve"> </w:t>
            </w:r>
          </w:p>
          <w:p w14:paraId="1CEF32E8" w14:textId="77777777" w:rsidR="008423E4" w:rsidRDefault="008423E4" w:rsidP="00012DB7"/>
          <w:p w14:paraId="7C0A780B" w14:textId="43F91122" w:rsidR="007B4480" w:rsidRPr="00045F0D" w:rsidRDefault="00FA6CCD" w:rsidP="00012DB7">
            <w:pPr>
              <w:pStyle w:val="Header"/>
              <w:jc w:val="both"/>
              <w:rPr>
                <w:b/>
              </w:rPr>
            </w:pPr>
            <w:r w:rsidRPr="00045F0D">
              <w:rPr>
                <w:b/>
              </w:rPr>
              <w:t xml:space="preserve">Limitations on Medical Procedures </w:t>
            </w:r>
          </w:p>
          <w:p w14:paraId="6A1B5FB0" w14:textId="77777777" w:rsidR="00907AE4" w:rsidRDefault="00907AE4" w:rsidP="00012DB7">
            <w:pPr>
              <w:pStyle w:val="Header"/>
              <w:jc w:val="both"/>
            </w:pPr>
          </w:p>
          <w:p w14:paraId="7125D7B4" w14:textId="633E5A4E" w:rsidR="000D118E" w:rsidRDefault="00FA6CCD" w:rsidP="00012DB7">
            <w:pPr>
              <w:pStyle w:val="Header"/>
              <w:jc w:val="both"/>
            </w:pPr>
            <w:r>
              <w:t>S.B. 968 amends the Government Code to prohibit the Texas Medical Board (TMB), during a declared state of disaster, from issuing a</w:t>
            </w:r>
            <w:r>
              <w:t xml:space="preserve">n order or adopting a regulation that limits or prohibits a nonelective medical procedure. </w:t>
            </w:r>
            <w:r w:rsidR="00B36F4E">
              <w:t xml:space="preserve">However, </w:t>
            </w:r>
            <w:r>
              <w:t xml:space="preserve">the TMB, during a declared state of disaster, </w:t>
            </w:r>
            <w:r w:rsidR="00B36F4E">
              <w:t>may</w:t>
            </w:r>
            <w:r>
              <w:t xml:space="preserve"> issue an order or adopt a regulation imposing a temporary limitation or prohibition on a medical procedure</w:t>
            </w:r>
            <w:r>
              <w:t xml:space="preserve"> other than a nonelective medical procedure only if the limitation or prohibition is reasonably necessary to conserve resources for nonelective medical procedures or resources needed for disaster response. The order or regulation may not continue for more </w:t>
            </w:r>
            <w:r>
              <w:t>than 15 days unless it is renewed by the TMB.</w:t>
            </w:r>
            <w:r w:rsidR="004C4E5D">
              <w:t xml:space="preserve"> The bill</w:t>
            </w:r>
            <w:r>
              <w:t xml:space="preserve"> provides the following</w:t>
            </w:r>
            <w:r w:rsidR="00286E9D">
              <w:t>:</w:t>
            </w:r>
          </w:p>
          <w:p w14:paraId="46C477A5" w14:textId="0F466EA3" w:rsidR="000D118E" w:rsidRDefault="00FA6CCD" w:rsidP="00012DB7">
            <w:pPr>
              <w:pStyle w:val="Header"/>
              <w:numPr>
                <w:ilvl w:val="0"/>
                <w:numId w:val="4"/>
              </w:numPr>
              <w:jc w:val="both"/>
            </w:pPr>
            <w:r>
              <w:t>a person</w:t>
            </w:r>
            <w:r w:rsidR="009F0234">
              <w:t xml:space="preserve"> </w:t>
            </w:r>
            <w:r>
              <w:t>subject to an order or regulation wh</w:t>
            </w:r>
            <w:r w:rsidR="009F0234">
              <w:t>o in good faith acts or fail</w:t>
            </w:r>
            <w:r>
              <w:t>s to act in accordance with an order or regulation is not civilly or criminally liable</w:t>
            </w:r>
            <w:r w:rsidR="009F0234">
              <w:t xml:space="preserve"> and</w:t>
            </w:r>
            <w:r>
              <w:t xml:space="preserve"> is not subjec</w:t>
            </w:r>
            <w:r>
              <w:t xml:space="preserve">t to </w:t>
            </w:r>
            <w:r w:rsidR="009F0234">
              <w:t>disciplinary action for that act or failure to act</w:t>
            </w:r>
            <w:r w:rsidR="00286E9D">
              <w:t>;</w:t>
            </w:r>
            <w:r w:rsidR="002838A3">
              <w:t xml:space="preserve"> </w:t>
            </w:r>
          </w:p>
          <w:p w14:paraId="29907F1E" w14:textId="285EC54E" w:rsidR="00286E9D" w:rsidRDefault="00FA6CCD" w:rsidP="00012DB7">
            <w:pPr>
              <w:pStyle w:val="Header"/>
              <w:numPr>
                <w:ilvl w:val="0"/>
                <w:numId w:val="4"/>
              </w:numPr>
              <w:jc w:val="both"/>
            </w:pPr>
            <w:r>
              <w:t>such</w:t>
            </w:r>
            <w:r w:rsidR="009F0234">
              <w:t xml:space="preserve"> imm</w:t>
            </w:r>
            <w:r w:rsidR="002838A3">
              <w:t>unity</w:t>
            </w:r>
            <w:r w:rsidR="009F0234">
              <w:t xml:space="preserve"> is in addition to any other immunity or limitation of liability provided by law</w:t>
            </w:r>
            <w:r>
              <w:t>; and</w:t>
            </w:r>
          </w:p>
          <w:p w14:paraId="062D7761" w14:textId="33B367FF" w:rsidR="00DC139E" w:rsidRDefault="00FA6CCD" w:rsidP="00012DB7">
            <w:pPr>
              <w:pStyle w:val="Header"/>
              <w:numPr>
                <w:ilvl w:val="0"/>
                <w:numId w:val="4"/>
              </w:numPr>
              <w:jc w:val="both"/>
            </w:pPr>
            <w:r>
              <w:t xml:space="preserve">"nonelective medical procedure" </w:t>
            </w:r>
            <w:r w:rsidR="00286E9D">
              <w:t>means</w:t>
            </w:r>
            <w:r>
              <w:t xml:space="preserve"> a medical procedure, including a surgery, a physical exam, a </w:t>
            </w:r>
            <w:r>
              <w:t>diagnostic test, a screening, the performance of a laboratory test, and the collection of a specimen to perform a laboratory test, that if not performed within a reasonable time may, as determined in good faith by a patient's physician, result in:</w:t>
            </w:r>
          </w:p>
          <w:p w14:paraId="04A9715D" w14:textId="6C1E8738" w:rsidR="00286E9D" w:rsidRDefault="00FA6CCD" w:rsidP="00012DB7">
            <w:pPr>
              <w:pStyle w:val="Header"/>
              <w:numPr>
                <w:ilvl w:val="0"/>
                <w:numId w:val="5"/>
              </w:numPr>
              <w:jc w:val="both"/>
            </w:pPr>
            <w:r>
              <w:t>the pati</w:t>
            </w:r>
            <w:r>
              <w:t>ent's loss of life; or</w:t>
            </w:r>
          </w:p>
          <w:p w14:paraId="6A366761" w14:textId="4C13B08C" w:rsidR="00286E9D" w:rsidRDefault="00FA6CCD" w:rsidP="00012DB7">
            <w:pPr>
              <w:pStyle w:val="Header"/>
              <w:numPr>
                <w:ilvl w:val="0"/>
                <w:numId w:val="5"/>
              </w:numPr>
              <w:jc w:val="both"/>
            </w:pPr>
            <w:r>
              <w:t>a deterioration, complication, or progression of the patient's current or potential medical condition or disorder, including a physical condition or mental disorder.</w:t>
            </w:r>
          </w:p>
          <w:p w14:paraId="4913F46D" w14:textId="1CFC3DC8" w:rsidR="00286E9D" w:rsidRDefault="00FA6CCD" w:rsidP="00012DB7">
            <w:pPr>
              <w:pStyle w:val="Header"/>
              <w:jc w:val="both"/>
            </w:pPr>
            <w:r>
              <w:t>These provisions of the bill regarding limitations on medical proce</w:t>
            </w:r>
            <w:r>
              <w:t>dures do not create a civil, criminal, or administrative cause of action or liability or create a standard of care, obligation, or duty that provides the basis for a cause of action for an act or omission.</w:t>
            </w:r>
          </w:p>
          <w:p w14:paraId="4495DBB2" w14:textId="77777777" w:rsidR="00743AFA" w:rsidRDefault="00743AFA" w:rsidP="00012DB7">
            <w:pPr>
              <w:pStyle w:val="Header"/>
              <w:jc w:val="both"/>
            </w:pPr>
          </w:p>
          <w:p w14:paraId="3A15651B" w14:textId="741C94DE" w:rsidR="007B4480" w:rsidRDefault="00FA6CCD" w:rsidP="00012DB7">
            <w:pPr>
              <w:pStyle w:val="Header"/>
              <w:jc w:val="both"/>
            </w:pPr>
            <w:r>
              <w:rPr>
                <w:b/>
              </w:rPr>
              <w:t>Personal Protective Equipment Contracts</w:t>
            </w:r>
          </w:p>
          <w:p w14:paraId="5D56A4DF" w14:textId="77777777" w:rsidR="00907AE4" w:rsidRDefault="00907AE4" w:rsidP="00012DB7">
            <w:pPr>
              <w:pStyle w:val="Header"/>
              <w:jc w:val="both"/>
            </w:pPr>
          </w:p>
          <w:p w14:paraId="78DFC256" w14:textId="5FA523AE" w:rsidR="002838A3" w:rsidRDefault="00FA6CCD" w:rsidP="00012DB7">
            <w:pPr>
              <w:pStyle w:val="Header"/>
              <w:jc w:val="both"/>
            </w:pPr>
            <w:r>
              <w:t>S.B. 968 requires the Texas Division of Emergency Management (TDEM) to enter into a contract with a manufacturer of personal protective equipment (PPE) that guarantees a set amount and stocked supply of PPE for use during a declared public health disaster.</w:t>
            </w:r>
            <w:r>
              <w:t xml:space="preserve"> The bill authorizes TDEM to purcha</w:t>
            </w:r>
            <w:r w:rsidR="000F5BA5">
              <w:t>se PPE</w:t>
            </w:r>
            <w:r>
              <w:t xml:space="preserve"> under a cont</w:t>
            </w:r>
            <w:r w:rsidR="000F5BA5">
              <w:t>ract only if TDEM</w:t>
            </w:r>
            <w:r>
              <w:t xml:space="preserve"> determines the state's supply </w:t>
            </w:r>
            <w:r w:rsidR="000F5BA5">
              <w:t>of PPE</w:t>
            </w:r>
            <w:r>
              <w:t xml:space="preserve"> will be insufficient bas</w:t>
            </w:r>
            <w:r w:rsidR="000F5BA5">
              <w:t>ed on an evaluation of PPE held in reserve in Texas</w:t>
            </w:r>
            <w:r>
              <w:t xml:space="preserve"> and supplied by or expected to be supplied by the federal government.</w:t>
            </w:r>
            <w:r w:rsidR="000F5BA5">
              <w:t xml:space="preserve"> </w:t>
            </w:r>
            <w:r>
              <w:t>T</w:t>
            </w:r>
            <w:r>
              <w:t>he</w:t>
            </w:r>
            <w:r w:rsidR="000F5BA5">
              <w:t xml:space="preserve"> bill requires TDEM to</w:t>
            </w:r>
            <w:r>
              <w:t xml:space="preserve"> pursue all available federal funding to cover the costs </w:t>
            </w:r>
            <w:r w:rsidR="000F5BA5">
              <w:t>of PPE</w:t>
            </w:r>
            <w:r>
              <w:t xml:space="preserve"> purchased under a cont</w:t>
            </w:r>
            <w:r w:rsidR="000F5BA5">
              <w:t>ract</w:t>
            </w:r>
            <w:r>
              <w:t>.</w:t>
            </w:r>
          </w:p>
          <w:p w14:paraId="30BB90C8" w14:textId="72417A23" w:rsidR="00C04064" w:rsidRDefault="00C04064" w:rsidP="00012DB7">
            <w:pPr>
              <w:pStyle w:val="Header"/>
              <w:jc w:val="both"/>
            </w:pPr>
          </w:p>
          <w:p w14:paraId="54F78DD8" w14:textId="03DC33A0" w:rsidR="00743AFA" w:rsidRPr="00045F0D" w:rsidRDefault="00FA6CCD" w:rsidP="00012DB7">
            <w:pPr>
              <w:pStyle w:val="Header"/>
              <w:jc w:val="both"/>
              <w:rPr>
                <w:b/>
              </w:rPr>
            </w:pPr>
            <w:r w:rsidRPr="00045F0D">
              <w:rPr>
                <w:b/>
              </w:rPr>
              <w:t xml:space="preserve">Communicable Disease Prevention </w:t>
            </w:r>
            <w:r w:rsidR="00A75C0A">
              <w:rPr>
                <w:b/>
              </w:rPr>
              <w:t xml:space="preserve">and </w:t>
            </w:r>
            <w:r w:rsidRPr="00045F0D">
              <w:rPr>
                <w:b/>
              </w:rPr>
              <w:t>Control Act</w:t>
            </w:r>
          </w:p>
          <w:p w14:paraId="2A8F4F1B" w14:textId="77777777" w:rsidR="00EE2144" w:rsidRDefault="00EE2144" w:rsidP="00012DB7">
            <w:pPr>
              <w:pStyle w:val="Header"/>
              <w:jc w:val="both"/>
              <w:rPr>
                <w:u w:val="single"/>
              </w:rPr>
            </w:pPr>
          </w:p>
          <w:p w14:paraId="09E535DF" w14:textId="6A005A26" w:rsidR="000E6032" w:rsidRPr="00045F0D" w:rsidRDefault="00FA6CCD" w:rsidP="00012DB7">
            <w:pPr>
              <w:pStyle w:val="Header"/>
              <w:jc w:val="both"/>
              <w:rPr>
                <w:u w:val="single"/>
              </w:rPr>
            </w:pPr>
            <w:r w:rsidRPr="00045F0D">
              <w:rPr>
                <w:u w:val="single"/>
              </w:rPr>
              <w:t>Definitions</w:t>
            </w:r>
          </w:p>
          <w:p w14:paraId="10767C1C" w14:textId="77777777" w:rsidR="00EE2144" w:rsidRDefault="00EE2144" w:rsidP="00012DB7">
            <w:pPr>
              <w:pStyle w:val="Header"/>
              <w:jc w:val="both"/>
            </w:pPr>
          </w:p>
          <w:p w14:paraId="521453A3" w14:textId="43FE50AF" w:rsidR="007012DA" w:rsidRDefault="00FA6CCD" w:rsidP="00012DB7">
            <w:pPr>
              <w:pStyle w:val="Header"/>
              <w:jc w:val="both"/>
            </w:pPr>
            <w:r>
              <w:t>S.B. 968 amends the Health and Safety Code</w:t>
            </w:r>
            <w:r w:rsidR="00E73531">
              <w:t>, for purposes of the Communicable Disease Prevention</w:t>
            </w:r>
            <w:r w:rsidR="000875EC">
              <w:t xml:space="preserve"> and</w:t>
            </w:r>
            <w:r w:rsidR="00E73531">
              <w:t xml:space="preserve"> Control Act,</w:t>
            </w:r>
            <w:r>
              <w:t xml:space="preserve"> </w:t>
            </w:r>
            <w:r w:rsidR="007529FA">
              <w:t>to define "public health emergency" as a determination by the commissioner</w:t>
            </w:r>
            <w:r w:rsidR="000066B0">
              <w:t xml:space="preserve"> of state health services</w:t>
            </w:r>
            <w:r w:rsidR="007529FA">
              <w:t xml:space="preserve">, evidenced in an emergency order issued by the commissioner, that there exists an immediate threat from a communicable disease, health condition, or chemical, biological, radiological, or electromagnetic exposure that potentially poses a risk of death or severe illness or harm to the public and potentially creates a substantial risk of harmful exposure to the public. The bill revises </w:t>
            </w:r>
            <w:r>
              <w:t xml:space="preserve">the definition of "public health disaster" to </w:t>
            </w:r>
            <w:r w:rsidR="00E73531">
              <w:t>provide that the term means a</w:t>
            </w:r>
            <w:r>
              <w:t xml:space="preserve"> declaration by the governor of a state of disaster and a determination by the commissioner of state health services that there exists an immediate threat from a communic</w:t>
            </w:r>
            <w:r>
              <w:t xml:space="preserve">able disease, health condition, or chemical, biological, radiological, or electromagnetic exposure that poses a high risk of death or serious harm to the public and creates a substantial risk of harmful public exposure. </w:t>
            </w:r>
          </w:p>
          <w:p w14:paraId="3BEFDE10" w14:textId="6D4CEDD3" w:rsidR="007012DA" w:rsidRDefault="007012DA" w:rsidP="00012DB7">
            <w:pPr>
              <w:pStyle w:val="Header"/>
              <w:jc w:val="both"/>
            </w:pPr>
          </w:p>
          <w:p w14:paraId="3B4C9C5B" w14:textId="1B47E33C" w:rsidR="007529FA" w:rsidRPr="00045F0D" w:rsidRDefault="00FA6CCD" w:rsidP="00012DB7">
            <w:pPr>
              <w:pStyle w:val="Header"/>
              <w:jc w:val="both"/>
              <w:rPr>
                <w:u w:val="single"/>
              </w:rPr>
            </w:pPr>
            <w:r w:rsidRPr="00045F0D">
              <w:rPr>
                <w:u w:val="single"/>
              </w:rPr>
              <w:t>Reporting Procedures</w:t>
            </w:r>
          </w:p>
          <w:p w14:paraId="27D35F6A" w14:textId="77777777" w:rsidR="00EE2144" w:rsidRDefault="00EE2144" w:rsidP="00012DB7">
            <w:pPr>
              <w:pStyle w:val="Header"/>
              <w:jc w:val="both"/>
            </w:pPr>
          </w:p>
          <w:p w14:paraId="32642FEB" w14:textId="4686435F" w:rsidR="000E6032" w:rsidRDefault="00FA6CCD" w:rsidP="00012DB7">
            <w:pPr>
              <w:pStyle w:val="Header"/>
              <w:jc w:val="both"/>
            </w:pPr>
            <w:r>
              <w:t>S.B. 968 req</w:t>
            </w:r>
            <w:r>
              <w:t xml:space="preserve">uires the executive commissioner of the Health and Human Services Commission (HHSC) to </w:t>
            </w:r>
            <w:r w:rsidRPr="00B14822">
              <w:t xml:space="preserve">require </w:t>
            </w:r>
            <w:r w:rsidR="004F1C93">
              <w:t>reports of diseases</w:t>
            </w:r>
            <w:r w:rsidRPr="00B14822">
              <w:t xml:space="preserve"> to contain the cycle threshold values</w:t>
            </w:r>
            <w:r w:rsidR="004F1C93">
              <w:t xml:space="preserve"> </w:t>
            </w:r>
            <w:r w:rsidRPr="00B14822">
              <w:t>and their reference ranges for the reportable disease that is the subject of the report.</w:t>
            </w:r>
            <w:r w:rsidR="004F1C93">
              <w:t xml:space="preserve"> "C</w:t>
            </w:r>
            <w:r w:rsidR="004F1C93" w:rsidRPr="004F1C93">
              <w:t>ycle threshold value" means for a communicable disease test the number of thermal cycles required for the fluorescent signal to exceed that of the background and cross the threshold for a positive test.</w:t>
            </w:r>
          </w:p>
          <w:p w14:paraId="77F77C72" w14:textId="6F7A3A16" w:rsidR="000E6032" w:rsidRDefault="000E6032" w:rsidP="00012DB7">
            <w:pPr>
              <w:pStyle w:val="Header"/>
              <w:jc w:val="both"/>
            </w:pPr>
          </w:p>
          <w:p w14:paraId="3F134206" w14:textId="48447882" w:rsidR="004F1C93" w:rsidRPr="00045F0D" w:rsidRDefault="00FA6CCD" w:rsidP="00012DB7">
            <w:pPr>
              <w:pStyle w:val="Header"/>
              <w:jc w:val="both"/>
              <w:rPr>
                <w:u w:val="single"/>
              </w:rPr>
            </w:pPr>
            <w:r>
              <w:rPr>
                <w:u w:val="single"/>
              </w:rPr>
              <w:t>DSHS Duty to Control, Generally</w:t>
            </w:r>
          </w:p>
          <w:p w14:paraId="5EB16E93" w14:textId="77777777" w:rsidR="00EE2144" w:rsidRDefault="00EE2144" w:rsidP="00012DB7">
            <w:pPr>
              <w:pStyle w:val="Header"/>
              <w:jc w:val="both"/>
            </w:pPr>
          </w:p>
          <w:p w14:paraId="7740EC16" w14:textId="191128DB" w:rsidR="004051B1" w:rsidRDefault="00FA6CCD" w:rsidP="00012DB7">
            <w:pPr>
              <w:pStyle w:val="Header"/>
              <w:jc w:val="both"/>
            </w:pPr>
            <w:r>
              <w:t xml:space="preserve">S.B. 968 revises the provision </w:t>
            </w:r>
            <w:r>
              <w:t xml:space="preserve">conferring on </w:t>
            </w:r>
            <w:r w:rsidR="009D0C32">
              <w:t>the Department of State Health Services (</w:t>
            </w:r>
            <w:r>
              <w:t>DSHS</w:t>
            </w:r>
            <w:r w:rsidR="009D0C32">
              <w:t>)</w:t>
            </w:r>
            <w:r>
              <w:t xml:space="preserve"> the general duty to impose control measures to prevent the spread of disease in the exercise of its power to protect the public health. The bill provides that DSHS </w:t>
            </w:r>
            <w:r w:rsidR="009D0C32">
              <w:t xml:space="preserve">instead </w:t>
            </w:r>
            <w:r w:rsidRPr="00B14822">
              <w:t>is the preemptive autho</w:t>
            </w:r>
            <w:r w:rsidRPr="00B14822">
              <w:t>r</w:t>
            </w:r>
            <w:r>
              <w:t>ity for purposes of the Communicable Disease Prevention</w:t>
            </w:r>
            <w:r w:rsidR="009D0C32">
              <w:t xml:space="preserve"> and</w:t>
            </w:r>
            <w:r>
              <w:t xml:space="preserve"> Control Act and requires DSHS to</w:t>
            </w:r>
            <w:r w:rsidRPr="00B14822">
              <w:t xml:space="preserve"> coordinate statewide or regional efforts to protect pub</w:t>
            </w:r>
            <w:r>
              <w:t>lic health. The bill requires DSHS to</w:t>
            </w:r>
            <w:r w:rsidRPr="00B14822">
              <w:t xml:space="preserve"> collaborate with local elected officials, including county and munici</w:t>
            </w:r>
            <w:r w:rsidRPr="00B14822">
              <w:t>pal official</w:t>
            </w:r>
            <w:r>
              <w:t>, to prevent the spread of disease and protect the public health.</w:t>
            </w:r>
          </w:p>
          <w:p w14:paraId="7C613557" w14:textId="77777777" w:rsidR="004F1C93" w:rsidRDefault="004F1C93" w:rsidP="00012DB7">
            <w:pPr>
              <w:pStyle w:val="Header"/>
              <w:jc w:val="both"/>
            </w:pPr>
          </w:p>
          <w:p w14:paraId="74C34099" w14:textId="6D4BC6F1" w:rsidR="004F1C93" w:rsidRDefault="00FA6CCD" w:rsidP="00012DB7">
            <w:pPr>
              <w:pStyle w:val="Header"/>
              <w:jc w:val="both"/>
              <w:rPr>
                <w:u w:val="single"/>
              </w:rPr>
            </w:pPr>
            <w:r w:rsidRPr="007A50C6">
              <w:rPr>
                <w:u w:val="single"/>
              </w:rPr>
              <w:t>Authority to Declare Public Health Disaster or Order Public Health Emergency</w:t>
            </w:r>
          </w:p>
          <w:p w14:paraId="6A89BC04" w14:textId="77777777" w:rsidR="00EE2144" w:rsidRDefault="00EE2144" w:rsidP="00012DB7">
            <w:pPr>
              <w:pStyle w:val="Header"/>
              <w:jc w:val="both"/>
            </w:pPr>
          </w:p>
          <w:p w14:paraId="58ECE5AC" w14:textId="651ED2CC" w:rsidR="00C04064" w:rsidRDefault="00FA6CCD" w:rsidP="00012DB7">
            <w:pPr>
              <w:pStyle w:val="Header"/>
              <w:jc w:val="both"/>
            </w:pPr>
            <w:r>
              <w:t xml:space="preserve">S.B. 968 authorizes the </w:t>
            </w:r>
            <w:r w:rsidRPr="00C04064">
              <w:t>commissioner of state health services</w:t>
            </w:r>
            <w:r>
              <w:t xml:space="preserve"> to </w:t>
            </w:r>
            <w:r w:rsidRPr="00C04064">
              <w:t>declare a statewide or regional public health disaster or order a statewide or regional public health emergency if the commissioner determines an occurrence or threat to public health is imminent.</w:t>
            </w:r>
            <w:r>
              <w:t xml:space="preserve"> T</w:t>
            </w:r>
            <w:r w:rsidRPr="00C04064">
              <w:t xml:space="preserve">he commissioner may declare a public health disaster only </w:t>
            </w:r>
            <w:r w:rsidRPr="00C04064">
              <w:t xml:space="preserve">if the governor </w:t>
            </w:r>
            <w:r>
              <w:t>declares a state of disaster</w:t>
            </w:r>
            <w:r w:rsidRPr="00C04064">
              <w:t xml:space="preserve"> for the occurrence or threat.</w:t>
            </w:r>
            <w:r>
              <w:t xml:space="preserve"> The bill establishes that a public health disaster or public health emergency continues until the governor or commissioner terminates the disaster or emergency on a finding that the</w:t>
            </w:r>
            <w:r>
              <w:t xml:space="preserve"> threat or danger has passed or the disaster or emergency has been managed to the extent emergency conditions no longer exist.</w:t>
            </w:r>
          </w:p>
          <w:p w14:paraId="713940D5" w14:textId="1BD21228" w:rsidR="00B535D1" w:rsidRDefault="00B535D1" w:rsidP="00012DB7">
            <w:pPr>
              <w:pStyle w:val="Header"/>
              <w:jc w:val="both"/>
            </w:pPr>
          </w:p>
          <w:p w14:paraId="650F3EA1" w14:textId="755BE22C" w:rsidR="00B535D1" w:rsidRDefault="00FA6CCD" w:rsidP="00012DB7">
            <w:pPr>
              <w:pStyle w:val="Header"/>
              <w:jc w:val="both"/>
            </w:pPr>
            <w:r>
              <w:t>S.B.</w:t>
            </w:r>
            <w:r w:rsidR="004040CE">
              <w:t xml:space="preserve"> </w:t>
            </w:r>
            <w:r>
              <w:t>968 establishes that a</w:t>
            </w:r>
            <w:r w:rsidRPr="00B535D1">
              <w:t xml:space="preserve"> public health disaster or public health emergency expires on the 30th day after the date the disaste</w:t>
            </w:r>
            <w:r w:rsidRPr="00B535D1">
              <w:t>r or emergency is declared or ordered by the commissioner. A public health disaster or public health emergency may only be renewed by the legislature or a designated legislative oversight board that has been granted authority under a statute enacted by the</w:t>
            </w:r>
            <w:r w:rsidRPr="00B535D1">
              <w:t xml:space="preserve"> legislature to renew a public health disaster declaration or public health emergency order. </w:t>
            </w:r>
            <w:r>
              <w:t>The bill prohibits each renewal period from</w:t>
            </w:r>
            <w:r w:rsidRPr="00B535D1">
              <w:t xml:space="preserve"> exceed</w:t>
            </w:r>
            <w:r>
              <w:t>ing</w:t>
            </w:r>
            <w:r w:rsidRPr="00B535D1">
              <w:t xml:space="preserve"> 30 days.</w:t>
            </w:r>
            <w:r>
              <w:t xml:space="preserve"> The bill requires a declaration or order to include the following:</w:t>
            </w:r>
          </w:p>
          <w:p w14:paraId="047E45E6" w14:textId="3F1CF9D0" w:rsidR="00B535D1" w:rsidRDefault="00FA6CCD" w:rsidP="00012DB7">
            <w:pPr>
              <w:pStyle w:val="Header"/>
              <w:numPr>
                <w:ilvl w:val="0"/>
                <w:numId w:val="1"/>
              </w:numPr>
              <w:jc w:val="both"/>
            </w:pPr>
            <w:r w:rsidRPr="00B535D1">
              <w:t>a description of the nature of th</w:t>
            </w:r>
            <w:r w:rsidRPr="00B535D1">
              <w:t>e disaster or emergency;</w:t>
            </w:r>
          </w:p>
          <w:p w14:paraId="55A87F7F" w14:textId="15F44914" w:rsidR="00B535D1" w:rsidRDefault="00FA6CCD" w:rsidP="00012DB7">
            <w:pPr>
              <w:pStyle w:val="Header"/>
              <w:numPr>
                <w:ilvl w:val="0"/>
                <w:numId w:val="1"/>
              </w:numPr>
              <w:jc w:val="both"/>
            </w:pPr>
            <w:r w:rsidRPr="00B535D1">
              <w:t>a designation of the area threatened by the disaster or emergency;</w:t>
            </w:r>
          </w:p>
          <w:p w14:paraId="57A44A66" w14:textId="603BA41D" w:rsidR="00B535D1" w:rsidRDefault="00FA6CCD" w:rsidP="00012DB7">
            <w:pPr>
              <w:pStyle w:val="Header"/>
              <w:numPr>
                <w:ilvl w:val="0"/>
                <w:numId w:val="1"/>
              </w:numPr>
              <w:jc w:val="both"/>
            </w:pPr>
            <w:r w:rsidRPr="00B535D1">
              <w:t>a description of the condition that created the disaster or emergency; and</w:t>
            </w:r>
          </w:p>
          <w:p w14:paraId="6B13CA31" w14:textId="0A8BA2C9" w:rsidR="00B535D1" w:rsidRDefault="00FA6CCD" w:rsidP="00012DB7">
            <w:pPr>
              <w:pStyle w:val="Header"/>
              <w:numPr>
                <w:ilvl w:val="0"/>
                <w:numId w:val="1"/>
              </w:numPr>
              <w:jc w:val="both"/>
            </w:pPr>
            <w:r>
              <w:t xml:space="preserve">if applicable, the reason for renewing the disaster or emergency or the reason for </w:t>
            </w:r>
            <w:r>
              <w:t>terminating the disaster or emergency.</w:t>
            </w:r>
          </w:p>
          <w:p w14:paraId="29F0AFF2" w14:textId="67906480" w:rsidR="00B535D1" w:rsidRDefault="00B535D1" w:rsidP="00012DB7">
            <w:pPr>
              <w:pStyle w:val="Header"/>
              <w:jc w:val="both"/>
            </w:pPr>
          </w:p>
          <w:p w14:paraId="296C6435" w14:textId="7277E2C6" w:rsidR="00B535D1" w:rsidRDefault="00FA6CCD" w:rsidP="00012DB7">
            <w:pPr>
              <w:pStyle w:val="Header"/>
              <w:jc w:val="both"/>
            </w:pPr>
            <w:r>
              <w:t>S.B.</w:t>
            </w:r>
            <w:r w:rsidR="004040CE">
              <w:t xml:space="preserve"> </w:t>
            </w:r>
            <w:r>
              <w:t xml:space="preserve">968 </w:t>
            </w:r>
            <w:r w:rsidR="00915BE2">
              <w:t>requires a</w:t>
            </w:r>
            <w:r w:rsidRPr="00B535D1">
              <w:t xml:space="preserve"> declaration</w:t>
            </w:r>
            <w:r w:rsidR="00915BE2">
              <w:t xml:space="preserve"> or order to</w:t>
            </w:r>
            <w:r w:rsidRPr="00B535D1">
              <w:t xml:space="preserve"> be disseminated promptly by means intended to bring its conte</w:t>
            </w:r>
            <w:r w:rsidR="00915BE2">
              <w:t>nts to the public's attention. The bill requires a</w:t>
            </w:r>
            <w:r w:rsidRPr="00B535D1">
              <w:t xml:space="preserve"> statewide or reg</w:t>
            </w:r>
            <w:r w:rsidR="00915BE2">
              <w:t>ional declaration or order to</w:t>
            </w:r>
            <w:r w:rsidRPr="00B535D1">
              <w:t xml:space="preserve"> be filed promp</w:t>
            </w:r>
            <w:r w:rsidRPr="00B535D1">
              <w:t>tly with the office of the governor and the secretary of s</w:t>
            </w:r>
            <w:r w:rsidR="00915BE2">
              <w:t xml:space="preserve">tate and </w:t>
            </w:r>
            <w:r w:rsidR="00A86FF9">
              <w:t xml:space="preserve">requires a regional declaration or order </w:t>
            </w:r>
            <w:r w:rsidR="00915BE2">
              <w:t>to</w:t>
            </w:r>
            <w:r w:rsidRPr="00B535D1">
              <w:t xml:space="preserve"> be filed with the county clerk or municipal secretary in each area to which it applies, unless the circumstances attendant on the disaster or eme</w:t>
            </w:r>
            <w:r w:rsidRPr="00B535D1">
              <w:t>rgency prevent or impede the filing.</w:t>
            </w:r>
          </w:p>
          <w:p w14:paraId="3CE117D5" w14:textId="77777777" w:rsidR="00EE2144" w:rsidRDefault="00EE2144" w:rsidP="00012DB7">
            <w:pPr>
              <w:pStyle w:val="Header"/>
              <w:jc w:val="both"/>
              <w:rPr>
                <w:u w:val="single"/>
              </w:rPr>
            </w:pPr>
          </w:p>
          <w:p w14:paraId="0B131FED" w14:textId="6CFCE4C4" w:rsidR="00915BE2" w:rsidRPr="00045F0D" w:rsidRDefault="00FA6CCD" w:rsidP="00012DB7">
            <w:pPr>
              <w:pStyle w:val="Header"/>
              <w:jc w:val="both"/>
              <w:rPr>
                <w:u w:val="single"/>
              </w:rPr>
            </w:pPr>
            <w:r w:rsidRPr="00045F0D">
              <w:rPr>
                <w:u w:val="single"/>
              </w:rPr>
              <w:t>Expert Panel</w:t>
            </w:r>
          </w:p>
          <w:p w14:paraId="0979F8A8" w14:textId="77777777" w:rsidR="00EE2144" w:rsidRDefault="00EE2144" w:rsidP="00012DB7">
            <w:pPr>
              <w:pStyle w:val="Header"/>
              <w:jc w:val="both"/>
            </w:pPr>
          </w:p>
          <w:p w14:paraId="513E7491" w14:textId="6947FB20" w:rsidR="00915BE2" w:rsidRDefault="00FA6CCD" w:rsidP="00012DB7">
            <w:pPr>
              <w:pStyle w:val="Header"/>
              <w:jc w:val="both"/>
            </w:pPr>
            <w:r>
              <w:t>S.B. 968 requires the commissioner, i</w:t>
            </w:r>
            <w:r w:rsidRPr="00915BE2">
              <w:t>mmediately after declaring a public health disaster or issuing a public health emergen</w:t>
            </w:r>
            <w:r>
              <w:t>cy order, to</w:t>
            </w:r>
            <w:r w:rsidRPr="00915BE2">
              <w:t xml:space="preserve"> appoint an expert panel composed of five physicians and four other h</w:t>
            </w:r>
            <w:r w:rsidRPr="00915BE2">
              <w:t>ealth care providers who have extensive experience involving treatments, therapeutics, and prophylactics for communicable diseases and other important knowledge and experience related to the disaster or order.</w:t>
            </w:r>
            <w:r>
              <w:t xml:space="preserve"> The bill requires the commissioner to appoint </w:t>
            </w:r>
            <w:r>
              <w:t xml:space="preserve">the presiding officer of the panel and requires the panel to </w:t>
            </w:r>
            <w:r w:rsidRPr="00915BE2">
              <w:t>meet dur</w:t>
            </w:r>
            <w:r>
              <w:t>ing the</w:t>
            </w:r>
            <w:r w:rsidRPr="00915BE2">
              <w:t xml:space="preserve"> disaster or emergency to provide recommendations on the disaster or emergency to the chief state epidemiologist</w:t>
            </w:r>
            <w:r w:rsidR="00326230">
              <w:t xml:space="preserve"> appointed under the bill's provisions</w:t>
            </w:r>
            <w:r>
              <w:t xml:space="preserve">. </w:t>
            </w:r>
            <w:r w:rsidRPr="00915BE2">
              <w:t>The expert panel is abolishe</w:t>
            </w:r>
            <w:r w:rsidRPr="00915BE2">
              <w:t xml:space="preserve">d on the </w:t>
            </w:r>
            <w:r w:rsidR="003143B9">
              <w:t>termination of the</w:t>
            </w:r>
            <w:r w:rsidRPr="00915BE2">
              <w:t xml:space="preserve"> disaster or emergency for which the panel was established.</w:t>
            </w:r>
            <w:r>
              <w:t xml:space="preserve"> </w:t>
            </w:r>
          </w:p>
          <w:p w14:paraId="1E191896" w14:textId="77777777" w:rsidR="00EE2144" w:rsidRDefault="00EE2144" w:rsidP="00012DB7">
            <w:pPr>
              <w:pStyle w:val="Header"/>
              <w:jc w:val="both"/>
              <w:rPr>
                <w:u w:val="single"/>
              </w:rPr>
            </w:pPr>
          </w:p>
          <w:p w14:paraId="5B6E55E7" w14:textId="35E7F119" w:rsidR="003143B9" w:rsidRPr="00045F0D" w:rsidRDefault="00FA6CCD" w:rsidP="00012DB7">
            <w:pPr>
              <w:pStyle w:val="Header"/>
              <w:jc w:val="both"/>
              <w:rPr>
                <w:u w:val="single"/>
              </w:rPr>
            </w:pPr>
            <w:r w:rsidRPr="00045F0D">
              <w:rPr>
                <w:u w:val="single"/>
              </w:rPr>
              <w:t>Failure to Report; Civil Penalty</w:t>
            </w:r>
          </w:p>
          <w:p w14:paraId="7170C229" w14:textId="77777777" w:rsidR="00EE2144" w:rsidRDefault="00EE2144" w:rsidP="00012DB7">
            <w:pPr>
              <w:pStyle w:val="Header"/>
              <w:jc w:val="both"/>
            </w:pPr>
          </w:p>
          <w:p w14:paraId="085DAD02" w14:textId="2DF35D9C" w:rsidR="003143B9" w:rsidRDefault="00FA6CCD" w:rsidP="00012DB7">
            <w:pPr>
              <w:pStyle w:val="Header"/>
              <w:jc w:val="both"/>
            </w:pPr>
            <w:r>
              <w:t xml:space="preserve">S.B. 968 makes a health care facility that fails to submit a report required by DSHS under a public health disaster or emergency liable to </w:t>
            </w:r>
            <w:r w:rsidR="006F2DDC">
              <w:t xml:space="preserve">the </w:t>
            </w:r>
            <w:r>
              <w:t>state for a civil penalty of not more than $1,000 for each failure. The attorney general at the request of DSHS m</w:t>
            </w:r>
            <w:r>
              <w:t>ay bring an action to collect the civil penalty</w:t>
            </w:r>
            <w:r w:rsidR="006F2DDC">
              <w:t xml:space="preserve"> imposed under these provisions</w:t>
            </w:r>
            <w:r>
              <w:t>.</w:t>
            </w:r>
          </w:p>
          <w:p w14:paraId="325BDA1E" w14:textId="77777777" w:rsidR="006F2DDC" w:rsidRDefault="006F2DDC" w:rsidP="00012DB7">
            <w:pPr>
              <w:pStyle w:val="Header"/>
              <w:jc w:val="both"/>
              <w:rPr>
                <w:b/>
              </w:rPr>
            </w:pPr>
          </w:p>
          <w:p w14:paraId="4D7A0C3C" w14:textId="35B315E6" w:rsidR="00BC59D3" w:rsidRDefault="00FA6CCD" w:rsidP="00012DB7">
            <w:pPr>
              <w:pStyle w:val="Header"/>
              <w:jc w:val="both"/>
            </w:pPr>
            <w:r>
              <w:rPr>
                <w:b/>
              </w:rPr>
              <w:t>COVID-19 Vaccine Passports</w:t>
            </w:r>
          </w:p>
          <w:p w14:paraId="1169FBEB" w14:textId="77777777" w:rsidR="00EE2144" w:rsidRDefault="00EE2144" w:rsidP="00012DB7">
            <w:pPr>
              <w:pStyle w:val="Header"/>
              <w:jc w:val="both"/>
            </w:pPr>
          </w:p>
          <w:p w14:paraId="798C3225" w14:textId="71A63C73" w:rsidR="006F2DDC" w:rsidRDefault="00FA6CCD" w:rsidP="00012DB7">
            <w:pPr>
              <w:pStyle w:val="Header"/>
              <w:jc w:val="both"/>
            </w:pPr>
            <w:r>
              <w:t xml:space="preserve">S.B. 968 prohibits a governmental entity in Texas from issuing a vaccine passport, vaccine pass, or other standardized documentation to certify an </w:t>
            </w:r>
            <w:r>
              <w:t xml:space="preserve">individual's COVID-19 vaccination status to a third party for a purpose other than health care or otherwise publish or share any individual's COVID-19 immunization record or similar health information for a purpose other than health care. The bill </w:t>
            </w:r>
            <w:r w:rsidR="003540F3">
              <w:t xml:space="preserve">prohibits </w:t>
            </w:r>
            <w:r>
              <w:t xml:space="preserve">a business in Texas </w:t>
            </w:r>
            <w:r w:rsidR="003540F3">
              <w:t>from requiring</w:t>
            </w:r>
            <w:r>
              <w:t xml:space="preserve"> a customer to provide any documentation certifying the customer's COVID-19 vaccination or post-transmission recovery on entry to, to gain access to, or to receive service from the business</w:t>
            </w:r>
            <w:r w:rsidR="00FD1916">
              <w:t xml:space="preserve"> and </w:t>
            </w:r>
            <w:r>
              <w:t>a business that fails to c</w:t>
            </w:r>
            <w:r>
              <w:t xml:space="preserve">omply with </w:t>
            </w:r>
            <w:r w:rsidR="00FD1916">
              <w:t>the prohibition</w:t>
            </w:r>
            <w:r>
              <w:t xml:space="preserve"> is not eligible to receive a grant or enter into a contract payable with </w:t>
            </w:r>
            <w:r w:rsidR="003540F3">
              <w:t>state funds. The bill provides the following:</w:t>
            </w:r>
          </w:p>
          <w:p w14:paraId="624C7DAA" w14:textId="6FB7B0E6" w:rsidR="00FD1916" w:rsidRDefault="00FA6CCD" w:rsidP="00012DB7">
            <w:pPr>
              <w:pStyle w:val="Header"/>
              <w:numPr>
                <w:ilvl w:val="0"/>
                <w:numId w:val="6"/>
              </w:numPr>
              <w:jc w:val="both"/>
            </w:pPr>
            <w:r>
              <w:t>each appropriate state agency must ensure that businesses in Texas comply with the prohibition and each approp</w:t>
            </w:r>
            <w:r>
              <w:t>riate state agency may require compliance with the prohibition as a condition for a license, permit, or other state authorization necessary for conducting business in Texas</w:t>
            </w:r>
            <w:r w:rsidR="003540F3">
              <w:t>; and</w:t>
            </w:r>
          </w:p>
          <w:p w14:paraId="5E86D4B7" w14:textId="669B7CBE" w:rsidR="00FD1916" w:rsidRDefault="00FA6CCD" w:rsidP="00012DB7">
            <w:pPr>
              <w:pStyle w:val="Header"/>
              <w:numPr>
                <w:ilvl w:val="0"/>
                <w:numId w:val="6"/>
              </w:numPr>
              <w:jc w:val="both"/>
            </w:pPr>
            <w:r>
              <w:t>the</w:t>
            </w:r>
            <w:r w:rsidR="006F2DDC">
              <w:t xml:space="preserve"> </w:t>
            </w:r>
            <w:r>
              <w:t xml:space="preserve">vaccine passport </w:t>
            </w:r>
            <w:r w:rsidR="006F2DDC">
              <w:t>provisions of the bill may not be construed to</w:t>
            </w:r>
            <w:r>
              <w:t xml:space="preserve"> do the fol</w:t>
            </w:r>
            <w:r>
              <w:t>lowing:</w:t>
            </w:r>
            <w:r w:rsidR="006F2DDC">
              <w:t xml:space="preserve"> </w:t>
            </w:r>
          </w:p>
          <w:p w14:paraId="01D99E20" w14:textId="77777777" w:rsidR="003540F3" w:rsidRDefault="00FA6CCD" w:rsidP="00012DB7">
            <w:pPr>
              <w:pStyle w:val="Header"/>
              <w:numPr>
                <w:ilvl w:val="0"/>
                <w:numId w:val="8"/>
              </w:numPr>
              <w:jc w:val="both"/>
            </w:pPr>
            <w:r>
              <w:t>restrict a business from implementing COVID-19 screening and infection control protocols in accordance with state and federal law to protect public health</w:t>
            </w:r>
            <w:r w:rsidR="00FD1916">
              <w:t>;</w:t>
            </w:r>
            <w:r>
              <w:t xml:space="preserve"> or</w:t>
            </w:r>
          </w:p>
          <w:p w14:paraId="25534BA0" w14:textId="0CC25C41" w:rsidR="00FD1916" w:rsidRDefault="00FA6CCD" w:rsidP="00012DB7">
            <w:pPr>
              <w:pStyle w:val="Header"/>
              <w:numPr>
                <w:ilvl w:val="0"/>
                <w:numId w:val="8"/>
              </w:numPr>
              <w:jc w:val="both"/>
            </w:pPr>
            <w:r>
              <w:t xml:space="preserve">interfere with an individual's right to access the individual's personal health </w:t>
            </w:r>
            <w:r>
              <w:t>information under federal law.</w:t>
            </w:r>
            <w:r w:rsidR="006F2DDC">
              <w:t xml:space="preserve"> </w:t>
            </w:r>
          </w:p>
          <w:p w14:paraId="372A6A25" w14:textId="77777777" w:rsidR="003540F3" w:rsidRDefault="003540F3" w:rsidP="00012DB7">
            <w:pPr>
              <w:pStyle w:val="Header"/>
              <w:jc w:val="both"/>
              <w:rPr>
                <w:b/>
              </w:rPr>
            </w:pPr>
          </w:p>
          <w:p w14:paraId="7051597E" w14:textId="5337D009" w:rsidR="006F2DDC" w:rsidRDefault="00FA6CCD" w:rsidP="00012DB7">
            <w:pPr>
              <w:pStyle w:val="Header"/>
              <w:jc w:val="both"/>
            </w:pPr>
            <w:r>
              <w:rPr>
                <w:b/>
              </w:rPr>
              <w:t xml:space="preserve">Office of </w:t>
            </w:r>
            <w:r w:rsidR="00693AFD">
              <w:rPr>
                <w:b/>
              </w:rPr>
              <w:t xml:space="preserve">Chief </w:t>
            </w:r>
            <w:r>
              <w:rPr>
                <w:b/>
              </w:rPr>
              <w:t>State Epidemiologist</w:t>
            </w:r>
          </w:p>
          <w:p w14:paraId="057344AA" w14:textId="77777777" w:rsidR="00EE2144" w:rsidRDefault="00EE2144" w:rsidP="00012DB7">
            <w:pPr>
              <w:pStyle w:val="Header"/>
              <w:jc w:val="both"/>
            </w:pPr>
          </w:p>
          <w:p w14:paraId="1DB09C46" w14:textId="286D556F" w:rsidR="00BC59D3" w:rsidRDefault="00FA6CCD" w:rsidP="00012DB7">
            <w:pPr>
              <w:pStyle w:val="Header"/>
              <w:jc w:val="both"/>
            </w:pPr>
            <w:r>
              <w:t>S.B. 968 requires the commissioner to do the following:</w:t>
            </w:r>
          </w:p>
          <w:p w14:paraId="30E887B3" w14:textId="15276C8F" w:rsidR="00BC59D3" w:rsidRDefault="00FA6CCD" w:rsidP="00012DB7">
            <w:pPr>
              <w:pStyle w:val="Header"/>
              <w:numPr>
                <w:ilvl w:val="0"/>
                <w:numId w:val="2"/>
              </w:numPr>
              <w:jc w:val="both"/>
            </w:pPr>
            <w:r>
              <w:t xml:space="preserve">establish an Office of Chief State Epidemiologist within DSHS to provide expertise in public health activities and policy in </w:t>
            </w:r>
            <w:r w:rsidR="00693AFD">
              <w:t>Texas</w:t>
            </w:r>
            <w:r>
              <w:t xml:space="preserve"> by evaluating epidemiologic, medical, and health care information and identifying pertinent research and evidence-based best practices; and</w:t>
            </w:r>
          </w:p>
          <w:p w14:paraId="2CE5F875" w14:textId="5412D982" w:rsidR="00BC59D3" w:rsidRDefault="00FA6CCD" w:rsidP="00012DB7">
            <w:pPr>
              <w:pStyle w:val="Header"/>
              <w:numPr>
                <w:ilvl w:val="0"/>
                <w:numId w:val="2"/>
              </w:numPr>
              <w:jc w:val="both"/>
            </w:pPr>
            <w:r w:rsidRPr="00BC59D3">
              <w:t>appoint a</w:t>
            </w:r>
            <w:r>
              <w:t xml:space="preserve"> physician</w:t>
            </w:r>
            <w:r w:rsidR="00693AFD">
              <w:t xml:space="preserve"> licensed to practice medicine in Texas</w:t>
            </w:r>
            <w:r w:rsidRPr="00BC59D3">
              <w:t xml:space="preserve"> as the chief state epidemiologist to administer the Off</w:t>
            </w:r>
            <w:r w:rsidRPr="00BC59D3">
              <w:t>ice of Chief State Epidemiologist.</w:t>
            </w:r>
          </w:p>
          <w:p w14:paraId="74E840A9" w14:textId="16E65A6B" w:rsidR="001C1169" w:rsidRDefault="00FA6CCD" w:rsidP="00012DB7">
            <w:pPr>
              <w:pStyle w:val="Header"/>
              <w:jc w:val="both"/>
            </w:pPr>
            <w:r>
              <w:t>The bill provides that t</w:t>
            </w:r>
            <w:r w:rsidR="00BC59D3">
              <w:t xml:space="preserve">he </w:t>
            </w:r>
            <w:r w:rsidR="00BC59D3" w:rsidRPr="00BC59D3">
              <w:t>chief state epidemiologist</w:t>
            </w:r>
            <w:r>
              <w:t>, as follows:</w:t>
            </w:r>
          </w:p>
          <w:p w14:paraId="401A9369" w14:textId="4ED48BF9" w:rsidR="001C1169" w:rsidRDefault="00FA6CCD" w:rsidP="00012DB7">
            <w:pPr>
              <w:pStyle w:val="Header"/>
              <w:numPr>
                <w:ilvl w:val="0"/>
                <w:numId w:val="9"/>
              </w:numPr>
              <w:jc w:val="both"/>
            </w:pPr>
            <w:r>
              <w:t>must</w:t>
            </w:r>
            <w:r w:rsidR="00BC59D3">
              <w:t xml:space="preserve"> be certified by the TMB in a medical specialty and have significant experience in public health and an advanced degree in public health, epidemiology, or a related field</w:t>
            </w:r>
            <w:r>
              <w:t>;</w:t>
            </w:r>
            <w:r w:rsidR="005C74E0">
              <w:t xml:space="preserve"> </w:t>
            </w:r>
          </w:p>
          <w:p w14:paraId="1B58371B" w14:textId="4B0AB249" w:rsidR="001C1169" w:rsidRDefault="00FA6CCD" w:rsidP="00012DB7">
            <w:pPr>
              <w:pStyle w:val="Header"/>
              <w:numPr>
                <w:ilvl w:val="0"/>
                <w:numId w:val="9"/>
              </w:numPr>
              <w:jc w:val="both"/>
            </w:pPr>
            <w:r>
              <w:t>serves as the DSHS expert on epidemiological matters and on communicable and noncommunicable diseases and</w:t>
            </w:r>
            <w:r w:rsidR="00693AFD">
              <w:t xml:space="preserve"> as</w:t>
            </w:r>
            <w:r>
              <w:t xml:space="preserve"> DSHS's senior science representative and primary contact for the CDC and other federal agencies related to epidemiologic science and disease surveillance;</w:t>
            </w:r>
            <w:r w:rsidR="00124A2F">
              <w:t xml:space="preserve"> </w:t>
            </w:r>
          </w:p>
          <w:p w14:paraId="5FE99CD7" w14:textId="5F54AFFE" w:rsidR="001C1169" w:rsidRDefault="00FA6CCD" w:rsidP="00012DB7">
            <w:pPr>
              <w:pStyle w:val="Header"/>
              <w:numPr>
                <w:ilvl w:val="0"/>
                <w:numId w:val="9"/>
              </w:numPr>
              <w:jc w:val="both"/>
            </w:pPr>
            <w:r>
              <w:t xml:space="preserve">must report to the state operations center, under the direction of the chief of </w:t>
            </w:r>
            <w:r w:rsidR="00F60F58">
              <w:t>TDEM</w:t>
            </w:r>
            <w:r>
              <w:t>, during a decl</w:t>
            </w:r>
            <w:r>
              <w:t xml:space="preserve">ared public health disaster to provide expertise and support </w:t>
            </w:r>
            <w:r w:rsidR="006D1154">
              <w:t>Texas' response to the disaster;</w:t>
            </w:r>
          </w:p>
          <w:p w14:paraId="21BEB9B6" w14:textId="119DDEB3" w:rsidR="001C1169" w:rsidRDefault="00FA6CCD" w:rsidP="00012DB7">
            <w:pPr>
              <w:pStyle w:val="Header"/>
              <w:numPr>
                <w:ilvl w:val="0"/>
                <w:numId w:val="9"/>
              </w:numPr>
              <w:jc w:val="both"/>
            </w:pPr>
            <w:r>
              <w:t>may provide professional and scientific consultation regarding epidemiology and disease control, harmful exposure, and injury prevention to state agencies, health</w:t>
            </w:r>
            <w:r>
              <w:t xml:space="preserve"> facilities, health service regions, local health authorities, local health departments, and other entities</w:t>
            </w:r>
            <w:r w:rsidR="006D1154">
              <w:t>; and</w:t>
            </w:r>
          </w:p>
          <w:p w14:paraId="4D53BE38" w14:textId="666C4707" w:rsidR="001C1169" w:rsidRDefault="00FA6CCD" w:rsidP="00012DB7">
            <w:pPr>
              <w:pStyle w:val="Header"/>
              <w:numPr>
                <w:ilvl w:val="0"/>
                <w:numId w:val="9"/>
              </w:numPr>
              <w:jc w:val="both"/>
            </w:pPr>
            <w:r>
              <w:t xml:space="preserve">may </w:t>
            </w:r>
            <w:r w:rsidR="00124A2F" w:rsidRPr="00124A2F">
              <w:t>access</w:t>
            </w:r>
            <w:r w:rsidR="00124A2F">
              <w:t xml:space="preserve"> information from DSHS</w:t>
            </w:r>
            <w:r w:rsidR="00124A2F" w:rsidRPr="00124A2F">
              <w:t xml:space="preserve"> to implement duties</w:t>
            </w:r>
            <w:r w:rsidR="00124A2F">
              <w:t xml:space="preserve"> of the epidemiologist's office</w:t>
            </w:r>
            <w:r w:rsidR="006D1154">
              <w:t>.</w:t>
            </w:r>
            <w:r w:rsidR="00124A2F">
              <w:t xml:space="preserve"> </w:t>
            </w:r>
          </w:p>
          <w:p w14:paraId="36348983" w14:textId="62EDB367" w:rsidR="00BC59D3" w:rsidRDefault="00FA6CCD" w:rsidP="00012DB7">
            <w:pPr>
              <w:pStyle w:val="Header"/>
              <w:jc w:val="both"/>
            </w:pPr>
            <w:r w:rsidRPr="006D1154">
              <w:t xml:space="preserve">Reports, records, and information provided to the Office </w:t>
            </w:r>
            <w:r w:rsidRPr="006D1154">
              <w:t>of Chief State Epidemiologist that relate to an epidemiologic or toxicologic investigation of human illness or conditions and of environmental exposure that are harmful or believed to be harmful to the public health are confidential and not subject to disc</w:t>
            </w:r>
            <w:r w:rsidRPr="006D1154">
              <w:t xml:space="preserve">losure under </w:t>
            </w:r>
            <w:r>
              <w:t>state public information law</w:t>
            </w:r>
            <w:r w:rsidRPr="006D1154">
              <w:t xml:space="preserve"> and may not be released or made public on subpoena or otherwise, except for statistical purposes if released in a manner that prevents identification of any person.</w:t>
            </w:r>
          </w:p>
          <w:p w14:paraId="13D1C60F" w14:textId="77777777" w:rsidR="00F60F58" w:rsidRDefault="00F60F58" w:rsidP="00012DB7">
            <w:pPr>
              <w:pStyle w:val="Header"/>
              <w:jc w:val="both"/>
              <w:rPr>
                <w:b/>
              </w:rPr>
            </w:pPr>
          </w:p>
          <w:p w14:paraId="3C0FF5DD" w14:textId="099AD45E" w:rsidR="00124A2F" w:rsidRPr="00045F0D" w:rsidRDefault="00FA6CCD" w:rsidP="00012DB7">
            <w:pPr>
              <w:pStyle w:val="Header"/>
              <w:jc w:val="both"/>
              <w:rPr>
                <w:b/>
              </w:rPr>
            </w:pPr>
            <w:r w:rsidRPr="00045F0D">
              <w:rPr>
                <w:b/>
              </w:rPr>
              <w:t>Preparedness Coordinating Council Advisory Commi</w:t>
            </w:r>
            <w:r w:rsidRPr="00045F0D">
              <w:rPr>
                <w:b/>
              </w:rPr>
              <w:t>ttee</w:t>
            </w:r>
          </w:p>
          <w:p w14:paraId="51E02371" w14:textId="77777777" w:rsidR="00EE2144" w:rsidRDefault="00EE2144" w:rsidP="00012DB7">
            <w:pPr>
              <w:pStyle w:val="Header"/>
              <w:jc w:val="both"/>
            </w:pPr>
          </w:p>
          <w:p w14:paraId="5C6F84C0" w14:textId="2DE8AA75" w:rsidR="00D05896" w:rsidRDefault="00FA6CCD" w:rsidP="00012DB7">
            <w:pPr>
              <w:pStyle w:val="Header"/>
              <w:jc w:val="both"/>
            </w:pPr>
            <w:r>
              <w:t xml:space="preserve">S.B. 968 requires the </w:t>
            </w:r>
            <w:r w:rsidRPr="00D146D9">
              <w:t>Preparedness Coordinating Council advisory committee</w:t>
            </w:r>
            <w:r>
              <w:t>,</w:t>
            </w:r>
            <w:r w:rsidR="00DC139E">
              <w:t xml:space="preserve"> </w:t>
            </w:r>
            <w:r>
              <w:t xml:space="preserve">under the direction of the </w:t>
            </w:r>
            <w:r w:rsidRPr="00D146D9">
              <w:t>emergency management council</w:t>
            </w:r>
            <w:r>
              <w:t xml:space="preserve">, to </w:t>
            </w:r>
            <w:r w:rsidR="004E2BC4" w:rsidRPr="004E2BC4">
              <w:t xml:space="preserve">conduct a study on </w:t>
            </w:r>
            <w:r>
              <w:t>Texas'</w:t>
            </w:r>
            <w:r w:rsidR="004E2BC4" w:rsidRPr="004E2BC4">
              <w:t xml:space="preserve"> response to the 2019 novel corona</w:t>
            </w:r>
            <w:r w:rsidR="006A02C5">
              <w:t>virus disease</w:t>
            </w:r>
            <w:r w:rsidR="00DC139E">
              <w:t xml:space="preserve">. </w:t>
            </w:r>
            <w:r w:rsidR="006D1154">
              <w:t>The bill</w:t>
            </w:r>
            <w:r w:rsidR="006A02C5">
              <w:t xml:space="preserve"> </w:t>
            </w:r>
            <w:r>
              <w:t>provides the following:</w:t>
            </w:r>
          </w:p>
          <w:p w14:paraId="5FC16DC8" w14:textId="21ADB67B" w:rsidR="00D05896" w:rsidRDefault="00FA6CCD" w:rsidP="00012DB7">
            <w:pPr>
              <w:pStyle w:val="Header"/>
              <w:numPr>
                <w:ilvl w:val="0"/>
                <w:numId w:val="3"/>
              </w:numPr>
              <w:jc w:val="both"/>
            </w:pPr>
            <w:r>
              <w:t xml:space="preserve">the </w:t>
            </w:r>
            <w:r w:rsidR="00A416C6">
              <w:t>committee</w:t>
            </w:r>
            <w:r>
              <w:t xml:space="preserve"> must</w:t>
            </w:r>
            <w:r w:rsidR="006A02C5">
              <w:t xml:space="preserve"> examine the roles of DSHS, HHSC, and TDEM</w:t>
            </w:r>
            <w:r w:rsidR="004E2BC4" w:rsidRPr="004E2BC4">
              <w:t xml:space="preserve"> relating to public health disaster and emergency planning and response efforts and determine the efficacy of the state emergency operations plan in appropriately identifying agency responsibilities</w:t>
            </w:r>
            <w:r>
              <w:t>;</w:t>
            </w:r>
          </w:p>
          <w:p w14:paraId="26267CC9" w14:textId="6B38E7AB" w:rsidR="00A416C6" w:rsidRDefault="00FA6CCD" w:rsidP="00012DB7">
            <w:pPr>
              <w:pStyle w:val="Header"/>
              <w:numPr>
                <w:ilvl w:val="0"/>
                <w:numId w:val="3"/>
              </w:numPr>
              <w:jc w:val="both"/>
            </w:pPr>
            <w:r>
              <w:t>the committee</w:t>
            </w:r>
            <w:r w:rsidR="00D05896">
              <w:t xml:space="preserve"> may</w:t>
            </w:r>
            <w:r w:rsidR="004E2BC4" w:rsidRPr="004E2BC4">
              <w:t xml:space="preserve"> collaborate with an institution o</w:t>
            </w:r>
            <w:r w:rsidR="006A02C5">
              <w:t>f higher education in Texas</w:t>
            </w:r>
            <w:r w:rsidR="004E2BC4" w:rsidRPr="004E2BC4">
              <w:t xml:space="preserve"> to conduct the study</w:t>
            </w:r>
            <w:r>
              <w:t xml:space="preserve">; </w:t>
            </w:r>
          </w:p>
          <w:p w14:paraId="4B04891A" w14:textId="414D0CD1" w:rsidR="00A416C6" w:rsidRDefault="00FA6CCD" w:rsidP="00012DB7">
            <w:pPr>
              <w:pStyle w:val="Header"/>
              <w:numPr>
                <w:ilvl w:val="0"/>
                <w:numId w:val="3"/>
              </w:numPr>
              <w:jc w:val="both"/>
            </w:pPr>
            <w:r>
              <w:t xml:space="preserve">not later than December 1, 2022, the committee must </w:t>
            </w:r>
            <w:r w:rsidR="006A02C5" w:rsidRPr="006A02C5">
              <w:t>prepare and submit a writ</w:t>
            </w:r>
            <w:r w:rsidR="006A02C5">
              <w:t xml:space="preserve">ten report to the governor, lieutenant governor, </w:t>
            </w:r>
            <w:r w:rsidR="006A02C5" w:rsidRPr="006A02C5">
              <w:t>speaker of the</w:t>
            </w:r>
            <w:r w:rsidR="006A02C5">
              <w:t xml:space="preserve"> house of representatives, and</w:t>
            </w:r>
            <w:r w:rsidR="006A02C5" w:rsidRPr="006A02C5">
              <w:t xml:space="preserve"> members of the legislature on the res</w:t>
            </w:r>
            <w:r w:rsidR="006A02C5">
              <w:t>ults of the study</w:t>
            </w:r>
            <w:r>
              <w:t>; and</w:t>
            </w:r>
          </w:p>
          <w:p w14:paraId="532AE044" w14:textId="431056BF" w:rsidR="00A416C6" w:rsidRDefault="00FA6CCD" w:rsidP="00012DB7">
            <w:pPr>
              <w:pStyle w:val="Header"/>
              <w:numPr>
                <w:ilvl w:val="0"/>
                <w:numId w:val="3"/>
              </w:numPr>
              <w:jc w:val="both"/>
            </w:pPr>
            <w:r>
              <w:t>the report must</w:t>
            </w:r>
            <w:r w:rsidRPr="006A02C5">
              <w:t xml:space="preserve"> include recommendations for legislative improvements for public health disaster and public health emergency response and preparedness.</w:t>
            </w:r>
            <w:r>
              <w:t xml:space="preserve"> </w:t>
            </w:r>
          </w:p>
          <w:p w14:paraId="6D4FF4C2" w14:textId="745099D8" w:rsidR="006A02C5" w:rsidRDefault="00FA6CCD" w:rsidP="00012DB7">
            <w:pPr>
              <w:pStyle w:val="Header"/>
              <w:jc w:val="both"/>
            </w:pPr>
            <w:r>
              <w:t>These provisi</w:t>
            </w:r>
            <w:r>
              <w:t xml:space="preserve">ons of the bill expire </w:t>
            </w:r>
            <w:r w:rsidRPr="006A02C5">
              <w:t>September 1, 2023.</w:t>
            </w:r>
          </w:p>
          <w:p w14:paraId="56C9EEFB" w14:textId="77777777" w:rsidR="00F60F58" w:rsidRDefault="00F60F58" w:rsidP="00012DB7">
            <w:pPr>
              <w:pStyle w:val="Header"/>
              <w:jc w:val="both"/>
              <w:rPr>
                <w:b/>
              </w:rPr>
            </w:pPr>
          </w:p>
          <w:p w14:paraId="5B9631C9" w14:textId="450B1FA6" w:rsidR="00F60F58" w:rsidRPr="00045F0D" w:rsidRDefault="00FA6CCD" w:rsidP="00012DB7">
            <w:pPr>
              <w:pStyle w:val="Header"/>
              <w:jc w:val="both"/>
              <w:rPr>
                <w:b/>
              </w:rPr>
            </w:pPr>
            <w:r w:rsidRPr="00045F0D">
              <w:rPr>
                <w:b/>
              </w:rPr>
              <w:t>Implementation Contingent on Specific Appropriation</w:t>
            </w:r>
          </w:p>
          <w:p w14:paraId="3569887F" w14:textId="77777777" w:rsidR="00EE2144" w:rsidRDefault="00EE2144" w:rsidP="00012DB7">
            <w:pPr>
              <w:pStyle w:val="Header"/>
              <w:jc w:val="both"/>
            </w:pPr>
          </w:p>
          <w:p w14:paraId="3F5C1933" w14:textId="36F378AE" w:rsidR="00F60F58" w:rsidRDefault="00FA6CCD" w:rsidP="00012DB7">
            <w:pPr>
              <w:pStyle w:val="Header"/>
              <w:jc w:val="both"/>
            </w:pPr>
            <w:r>
              <w:t>I</w:t>
            </w:r>
            <w:r w:rsidR="000C6FA2">
              <w:t xml:space="preserve">mplementation of a provision of </w:t>
            </w:r>
            <w:r w:rsidR="00087C7E">
              <w:t xml:space="preserve">the </w:t>
            </w:r>
            <w:r w:rsidR="000C6FA2">
              <w:t xml:space="preserve">bill by DSHS and </w:t>
            </w:r>
            <w:r w:rsidR="001F50E9" w:rsidRPr="000C6FA2">
              <w:t>the Preparedness</w:t>
            </w:r>
            <w:r w:rsidR="000C6FA2" w:rsidRPr="000C6FA2">
              <w:t xml:space="preserve"> Coordinating Council advisory committee</w:t>
            </w:r>
            <w:r w:rsidR="000C6FA2">
              <w:t xml:space="preserve"> is mandatory only if a specific appropriation is made for that purpose. The bill requires DSHS to use any </w:t>
            </w:r>
            <w:r w:rsidR="000C6FA2" w:rsidRPr="000C6FA2">
              <w:t>available federal money to implement</w:t>
            </w:r>
            <w:r w:rsidR="000C6FA2">
              <w:t xml:space="preserve"> the bill's provisions.</w:t>
            </w:r>
          </w:p>
          <w:p w14:paraId="1171BF0E" w14:textId="77777777" w:rsidR="00F60F58" w:rsidRDefault="00F60F58" w:rsidP="00012DB7">
            <w:pPr>
              <w:pStyle w:val="Header"/>
              <w:jc w:val="both"/>
              <w:rPr>
                <w:b/>
              </w:rPr>
            </w:pPr>
          </w:p>
          <w:p w14:paraId="2E54FBA4" w14:textId="22257121" w:rsidR="00F60F58" w:rsidRPr="00045F0D" w:rsidRDefault="00FA6CCD" w:rsidP="00012DB7">
            <w:pPr>
              <w:pStyle w:val="Header"/>
              <w:jc w:val="both"/>
              <w:rPr>
                <w:b/>
              </w:rPr>
            </w:pPr>
            <w:r w:rsidRPr="00045F0D">
              <w:rPr>
                <w:b/>
              </w:rPr>
              <w:t>Repealed Provisions</w:t>
            </w:r>
          </w:p>
          <w:p w14:paraId="5C82AFE2" w14:textId="77777777" w:rsidR="00EE2144" w:rsidRDefault="00EE2144" w:rsidP="00012DB7">
            <w:pPr>
              <w:pStyle w:val="Header"/>
              <w:jc w:val="both"/>
            </w:pPr>
          </w:p>
          <w:p w14:paraId="38FD9254" w14:textId="5378CDF9" w:rsidR="000C6FA2" w:rsidRPr="009C36CD" w:rsidRDefault="00FA6CCD" w:rsidP="00012DB7">
            <w:pPr>
              <w:pStyle w:val="Header"/>
              <w:jc w:val="both"/>
            </w:pPr>
            <w:r>
              <w:t xml:space="preserve">S.B. 968 repeals </w:t>
            </w:r>
            <w:r w:rsidRPr="000C6FA2">
              <w:t>Sections 81.082(d) and (e), Health and Safety Code</w:t>
            </w:r>
            <w:r>
              <w:t>, which provide that a declaration of a public hea</w:t>
            </w:r>
            <w:r>
              <w:t xml:space="preserve">lth disaster may continue for not more than 30 days, that a public health disaster may be renewed one time by the commissioner for an additional 30 days, and that the governor may terminate a declaration of a public health disaster at any time. </w:t>
            </w:r>
          </w:p>
          <w:p w14:paraId="3B2F61CA" w14:textId="77777777" w:rsidR="008423E4" w:rsidRPr="00835628" w:rsidRDefault="008423E4" w:rsidP="00012DB7">
            <w:pPr>
              <w:rPr>
                <w:b/>
              </w:rPr>
            </w:pPr>
          </w:p>
        </w:tc>
      </w:tr>
      <w:tr w:rsidR="00AD168B" w14:paraId="7EB3943D" w14:textId="77777777" w:rsidTr="00345119">
        <w:tc>
          <w:tcPr>
            <w:tcW w:w="9576" w:type="dxa"/>
          </w:tcPr>
          <w:p w14:paraId="3406F2E9" w14:textId="77777777" w:rsidR="008423E4" w:rsidRPr="00A8133F" w:rsidRDefault="00FA6CCD" w:rsidP="00012DB7">
            <w:pPr>
              <w:rPr>
                <w:b/>
              </w:rPr>
            </w:pPr>
            <w:r w:rsidRPr="009C1E9A">
              <w:rPr>
                <w:b/>
                <w:u w:val="single"/>
              </w:rPr>
              <w:t>EFFECTIV</w:t>
            </w:r>
            <w:r w:rsidRPr="009C1E9A">
              <w:rPr>
                <w:b/>
                <w:u w:val="single"/>
              </w:rPr>
              <w:t>E DATE</w:t>
            </w:r>
            <w:r>
              <w:rPr>
                <w:b/>
              </w:rPr>
              <w:t xml:space="preserve"> </w:t>
            </w:r>
          </w:p>
          <w:p w14:paraId="09A1B47B" w14:textId="77777777" w:rsidR="008423E4" w:rsidRDefault="008423E4" w:rsidP="00012DB7"/>
          <w:p w14:paraId="1B959260" w14:textId="659BFFAB" w:rsidR="008423E4" w:rsidRPr="003624F2" w:rsidRDefault="00FA6CCD" w:rsidP="00012DB7">
            <w:pPr>
              <w:pStyle w:val="Header"/>
              <w:tabs>
                <w:tab w:val="clear" w:pos="4320"/>
                <w:tab w:val="clear" w:pos="8640"/>
              </w:tabs>
              <w:jc w:val="both"/>
            </w:pPr>
            <w:r>
              <w:t>On passage, or, if the bill does not receive the necessary vote, September 1, 2021.</w:t>
            </w:r>
          </w:p>
          <w:p w14:paraId="541D2F7C" w14:textId="77777777" w:rsidR="008423E4" w:rsidRPr="00233FDB" w:rsidRDefault="008423E4" w:rsidP="00012DB7">
            <w:pPr>
              <w:rPr>
                <w:b/>
              </w:rPr>
            </w:pPr>
          </w:p>
        </w:tc>
      </w:tr>
    </w:tbl>
    <w:p w14:paraId="4A4AF374" w14:textId="77777777" w:rsidR="008423E4" w:rsidRPr="00BE0E75" w:rsidRDefault="008423E4" w:rsidP="00012DB7">
      <w:pPr>
        <w:jc w:val="both"/>
        <w:rPr>
          <w:rFonts w:ascii="Arial" w:hAnsi="Arial"/>
          <w:sz w:val="16"/>
          <w:szCs w:val="16"/>
        </w:rPr>
      </w:pPr>
    </w:p>
    <w:p w14:paraId="386A7664" w14:textId="77777777" w:rsidR="004108C3" w:rsidRPr="008423E4" w:rsidRDefault="004108C3" w:rsidP="00012DB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0D13" w14:textId="77777777" w:rsidR="00000000" w:rsidRDefault="00FA6CCD">
      <w:r>
        <w:separator/>
      </w:r>
    </w:p>
  </w:endnote>
  <w:endnote w:type="continuationSeparator" w:id="0">
    <w:p w14:paraId="04669C37" w14:textId="77777777" w:rsidR="00000000" w:rsidRDefault="00FA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C62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D168B" w14:paraId="7585DF99" w14:textId="77777777" w:rsidTr="009C1E9A">
      <w:trPr>
        <w:cantSplit/>
      </w:trPr>
      <w:tc>
        <w:tcPr>
          <w:tcW w:w="0" w:type="pct"/>
        </w:tcPr>
        <w:p w14:paraId="2DAF6EE0" w14:textId="77777777" w:rsidR="00137D90" w:rsidRDefault="00137D90" w:rsidP="009C1E9A">
          <w:pPr>
            <w:pStyle w:val="Footer"/>
            <w:tabs>
              <w:tab w:val="clear" w:pos="8640"/>
              <w:tab w:val="right" w:pos="9360"/>
            </w:tabs>
          </w:pPr>
        </w:p>
      </w:tc>
      <w:tc>
        <w:tcPr>
          <w:tcW w:w="2395" w:type="pct"/>
        </w:tcPr>
        <w:p w14:paraId="3E3D5574" w14:textId="77777777" w:rsidR="00137D90" w:rsidRDefault="00137D90" w:rsidP="009C1E9A">
          <w:pPr>
            <w:pStyle w:val="Footer"/>
            <w:tabs>
              <w:tab w:val="clear" w:pos="8640"/>
              <w:tab w:val="right" w:pos="9360"/>
            </w:tabs>
          </w:pPr>
        </w:p>
        <w:p w14:paraId="52040F58" w14:textId="77777777" w:rsidR="001A4310" w:rsidRDefault="001A4310" w:rsidP="009C1E9A">
          <w:pPr>
            <w:pStyle w:val="Footer"/>
            <w:tabs>
              <w:tab w:val="clear" w:pos="8640"/>
              <w:tab w:val="right" w:pos="9360"/>
            </w:tabs>
          </w:pPr>
        </w:p>
        <w:p w14:paraId="00CD7266" w14:textId="77777777" w:rsidR="00137D90" w:rsidRDefault="00137D90" w:rsidP="009C1E9A">
          <w:pPr>
            <w:pStyle w:val="Footer"/>
            <w:tabs>
              <w:tab w:val="clear" w:pos="8640"/>
              <w:tab w:val="right" w:pos="9360"/>
            </w:tabs>
          </w:pPr>
        </w:p>
      </w:tc>
      <w:tc>
        <w:tcPr>
          <w:tcW w:w="2453" w:type="pct"/>
        </w:tcPr>
        <w:p w14:paraId="64AA54D8" w14:textId="77777777" w:rsidR="00137D90" w:rsidRDefault="00137D90" w:rsidP="009C1E9A">
          <w:pPr>
            <w:pStyle w:val="Footer"/>
            <w:tabs>
              <w:tab w:val="clear" w:pos="8640"/>
              <w:tab w:val="right" w:pos="9360"/>
            </w:tabs>
            <w:jc w:val="right"/>
          </w:pPr>
        </w:p>
      </w:tc>
    </w:tr>
    <w:tr w:rsidR="00AD168B" w14:paraId="01BBD5CD" w14:textId="77777777" w:rsidTr="009C1E9A">
      <w:trPr>
        <w:cantSplit/>
      </w:trPr>
      <w:tc>
        <w:tcPr>
          <w:tcW w:w="0" w:type="pct"/>
        </w:tcPr>
        <w:p w14:paraId="2BDFE2ED" w14:textId="77777777" w:rsidR="00EC379B" w:rsidRDefault="00EC379B" w:rsidP="009C1E9A">
          <w:pPr>
            <w:pStyle w:val="Footer"/>
            <w:tabs>
              <w:tab w:val="clear" w:pos="8640"/>
              <w:tab w:val="right" w:pos="9360"/>
            </w:tabs>
          </w:pPr>
        </w:p>
      </w:tc>
      <w:tc>
        <w:tcPr>
          <w:tcW w:w="2395" w:type="pct"/>
        </w:tcPr>
        <w:p w14:paraId="471158C4" w14:textId="35805861" w:rsidR="00EC379B" w:rsidRPr="009C1E9A" w:rsidRDefault="00FA6CCD" w:rsidP="009C1E9A">
          <w:pPr>
            <w:pStyle w:val="Footer"/>
            <w:tabs>
              <w:tab w:val="clear" w:pos="8640"/>
              <w:tab w:val="right" w:pos="9360"/>
            </w:tabs>
            <w:rPr>
              <w:rFonts w:ascii="Shruti" w:hAnsi="Shruti"/>
              <w:sz w:val="22"/>
            </w:rPr>
          </w:pPr>
          <w:r>
            <w:rPr>
              <w:rFonts w:ascii="Shruti" w:hAnsi="Shruti"/>
              <w:sz w:val="22"/>
            </w:rPr>
            <w:t>87R 28359</w:t>
          </w:r>
        </w:p>
      </w:tc>
      <w:tc>
        <w:tcPr>
          <w:tcW w:w="2453" w:type="pct"/>
        </w:tcPr>
        <w:p w14:paraId="7F8739A8" w14:textId="712D6017" w:rsidR="00EC379B" w:rsidRDefault="00FA6CCD" w:rsidP="009C1E9A">
          <w:pPr>
            <w:pStyle w:val="Footer"/>
            <w:tabs>
              <w:tab w:val="clear" w:pos="8640"/>
              <w:tab w:val="right" w:pos="9360"/>
            </w:tabs>
            <w:jc w:val="right"/>
          </w:pPr>
          <w:r>
            <w:fldChar w:fldCharType="begin"/>
          </w:r>
          <w:r>
            <w:instrText xml:space="preserve"> DOCPROPERTY  OTID  \* MERGEFORMAT </w:instrText>
          </w:r>
          <w:r>
            <w:fldChar w:fldCharType="separate"/>
          </w:r>
          <w:r w:rsidR="00535C00">
            <w:t>21.140.977</w:t>
          </w:r>
          <w:r>
            <w:fldChar w:fldCharType="end"/>
          </w:r>
        </w:p>
      </w:tc>
    </w:tr>
    <w:tr w:rsidR="00AD168B" w14:paraId="45FAE7E3" w14:textId="77777777" w:rsidTr="009C1E9A">
      <w:trPr>
        <w:cantSplit/>
      </w:trPr>
      <w:tc>
        <w:tcPr>
          <w:tcW w:w="0" w:type="pct"/>
        </w:tcPr>
        <w:p w14:paraId="1E05BF04" w14:textId="77777777" w:rsidR="00EC379B" w:rsidRDefault="00EC379B" w:rsidP="009C1E9A">
          <w:pPr>
            <w:pStyle w:val="Footer"/>
            <w:tabs>
              <w:tab w:val="clear" w:pos="4320"/>
              <w:tab w:val="clear" w:pos="8640"/>
              <w:tab w:val="left" w:pos="2865"/>
            </w:tabs>
          </w:pPr>
        </w:p>
      </w:tc>
      <w:tc>
        <w:tcPr>
          <w:tcW w:w="2395" w:type="pct"/>
        </w:tcPr>
        <w:p w14:paraId="5D7DB00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9D60602" w14:textId="77777777" w:rsidR="00EC379B" w:rsidRDefault="00EC379B" w:rsidP="006D504F">
          <w:pPr>
            <w:pStyle w:val="Footer"/>
            <w:rPr>
              <w:rStyle w:val="PageNumber"/>
            </w:rPr>
          </w:pPr>
        </w:p>
        <w:p w14:paraId="62B146ED" w14:textId="77777777" w:rsidR="00EC379B" w:rsidRDefault="00EC379B" w:rsidP="009C1E9A">
          <w:pPr>
            <w:pStyle w:val="Footer"/>
            <w:tabs>
              <w:tab w:val="clear" w:pos="8640"/>
              <w:tab w:val="right" w:pos="9360"/>
            </w:tabs>
            <w:jc w:val="right"/>
          </w:pPr>
        </w:p>
      </w:tc>
    </w:tr>
    <w:tr w:rsidR="00AD168B" w14:paraId="486792EB" w14:textId="77777777" w:rsidTr="009C1E9A">
      <w:trPr>
        <w:cantSplit/>
        <w:trHeight w:val="323"/>
      </w:trPr>
      <w:tc>
        <w:tcPr>
          <w:tcW w:w="0" w:type="pct"/>
          <w:gridSpan w:val="3"/>
        </w:tcPr>
        <w:p w14:paraId="459EB79F" w14:textId="667E4C03" w:rsidR="00EC379B" w:rsidRDefault="00FA6C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35C00">
            <w:rPr>
              <w:rStyle w:val="PageNumber"/>
              <w:noProof/>
            </w:rPr>
            <w:t>2</w:t>
          </w:r>
          <w:r>
            <w:rPr>
              <w:rStyle w:val="PageNumber"/>
            </w:rPr>
            <w:fldChar w:fldCharType="end"/>
          </w:r>
        </w:p>
        <w:p w14:paraId="74F72587" w14:textId="77777777" w:rsidR="00EC379B" w:rsidRDefault="00EC379B" w:rsidP="009C1E9A">
          <w:pPr>
            <w:pStyle w:val="Footer"/>
            <w:tabs>
              <w:tab w:val="clear" w:pos="8640"/>
              <w:tab w:val="right" w:pos="9360"/>
            </w:tabs>
            <w:jc w:val="center"/>
          </w:pPr>
        </w:p>
      </w:tc>
    </w:tr>
  </w:tbl>
  <w:p w14:paraId="487C2A5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305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B2AD" w14:textId="77777777" w:rsidR="00000000" w:rsidRDefault="00FA6CCD">
      <w:r>
        <w:separator/>
      </w:r>
    </w:p>
  </w:footnote>
  <w:footnote w:type="continuationSeparator" w:id="0">
    <w:p w14:paraId="0B653657" w14:textId="77777777" w:rsidR="00000000" w:rsidRDefault="00FA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6DB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732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563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5516"/>
    <w:multiLevelType w:val="hybridMultilevel"/>
    <w:tmpl w:val="F8023062"/>
    <w:lvl w:ilvl="0" w:tplc="EF0E98E0">
      <w:start w:val="1"/>
      <w:numFmt w:val="bullet"/>
      <w:lvlText w:val="o"/>
      <w:lvlJc w:val="left"/>
      <w:pPr>
        <w:ind w:left="1080" w:hanging="360"/>
      </w:pPr>
      <w:rPr>
        <w:rFonts w:ascii="Courier New" w:hAnsi="Courier New" w:cs="Courier New" w:hint="default"/>
      </w:rPr>
    </w:lvl>
    <w:lvl w:ilvl="1" w:tplc="54B8A338" w:tentative="1">
      <w:start w:val="1"/>
      <w:numFmt w:val="bullet"/>
      <w:lvlText w:val="o"/>
      <w:lvlJc w:val="left"/>
      <w:pPr>
        <w:ind w:left="1800" w:hanging="360"/>
      </w:pPr>
      <w:rPr>
        <w:rFonts w:ascii="Courier New" w:hAnsi="Courier New" w:cs="Courier New" w:hint="default"/>
      </w:rPr>
    </w:lvl>
    <w:lvl w:ilvl="2" w:tplc="4B346CAE" w:tentative="1">
      <w:start w:val="1"/>
      <w:numFmt w:val="bullet"/>
      <w:lvlText w:val=""/>
      <w:lvlJc w:val="left"/>
      <w:pPr>
        <w:ind w:left="2520" w:hanging="360"/>
      </w:pPr>
      <w:rPr>
        <w:rFonts w:ascii="Wingdings" w:hAnsi="Wingdings" w:hint="default"/>
      </w:rPr>
    </w:lvl>
    <w:lvl w:ilvl="3" w:tplc="CFC40B08" w:tentative="1">
      <w:start w:val="1"/>
      <w:numFmt w:val="bullet"/>
      <w:lvlText w:val=""/>
      <w:lvlJc w:val="left"/>
      <w:pPr>
        <w:ind w:left="3240" w:hanging="360"/>
      </w:pPr>
      <w:rPr>
        <w:rFonts w:ascii="Symbol" w:hAnsi="Symbol" w:hint="default"/>
      </w:rPr>
    </w:lvl>
    <w:lvl w:ilvl="4" w:tplc="71B48C8E" w:tentative="1">
      <w:start w:val="1"/>
      <w:numFmt w:val="bullet"/>
      <w:lvlText w:val="o"/>
      <w:lvlJc w:val="left"/>
      <w:pPr>
        <w:ind w:left="3960" w:hanging="360"/>
      </w:pPr>
      <w:rPr>
        <w:rFonts w:ascii="Courier New" w:hAnsi="Courier New" w:cs="Courier New" w:hint="default"/>
      </w:rPr>
    </w:lvl>
    <w:lvl w:ilvl="5" w:tplc="C15ED510" w:tentative="1">
      <w:start w:val="1"/>
      <w:numFmt w:val="bullet"/>
      <w:lvlText w:val=""/>
      <w:lvlJc w:val="left"/>
      <w:pPr>
        <w:ind w:left="4680" w:hanging="360"/>
      </w:pPr>
      <w:rPr>
        <w:rFonts w:ascii="Wingdings" w:hAnsi="Wingdings" w:hint="default"/>
      </w:rPr>
    </w:lvl>
    <w:lvl w:ilvl="6" w:tplc="83721A38" w:tentative="1">
      <w:start w:val="1"/>
      <w:numFmt w:val="bullet"/>
      <w:lvlText w:val=""/>
      <w:lvlJc w:val="left"/>
      <w:pPr>
        <w:ind w:left="5400" w:hanging="360"/>
      </w:pPr>
      <w:rPr>
        <w:rFonts w:ascii="Symbol" w:hAnsi="Symbol" w:hint="default"/>
      </w:rPr>
    </w:lvl>
    <w:lvl w:ilvl="7" w:tplc="43B604EE" w:tentative="1">
      <w:start w:val="1"/>
      <w:numFmt w:val="bullet"/>
      <w:lvlText w:val="o"/>
      <w:lvlJc w:val="left"/>
      <w:pPr>
        <w:ind w:left="6120" w:hanging="360"/>
      </w:pPr>
      <w:rPr>
        <w:rFonts w:ascii="Courier New" w:hAnsi="Courier New" w:cs="Courier New" w:hint="default"/>
      </w:rPr>
    </w:lvl>
    <w:lvl w:ilvl="8" w:tplc="7F0A00F0" w:tentative="1">
      <w:start w:val="1"/>
      <w:numFmt w:val="bullet"/>
      <w:lvlText w:val=""/>
      <w:lvlJc w:val="left"/>
      <w:pPr>
        <w:ind w:left="6840" w:hanging="360"/>
      </w:pPr>
      <w:rPr>
        <w:rFonts w:ascii="Wingdings" w:hAnsi="Wingdings" w:hint="default"/>
      </w:rPr>
    </w:lvl>
  </w:abstractNum>
  <w:abstractNum w:abstractNumId="1" w15:restartNumberingAfterBreak="0">
    <w:nsid w:val="317F0648"/>
    <w:multiLevelType w:val="hybridMultilevel"/>
    <w:tmpl w:val="5A944C52"/>
    <w:lvl w:ilvl="0" w:tplc="40E4C794">
      <w:start w:val="1"/>
      <w:numFmt w:val="bullet"/>
      <w:lvlText w:val=""/>
      <w:lvlJc w:val="left"/>
      <w:pPr>
        <w:tabs>
          <w:tab w:val="num" w:pos="720"/>
        </w:tabs>
        <w:ind w:left="720" w:hanging="360"/>
      </w:pPr>
      <w:rPr>
        <w:rFonts w:ascii="Symbol" w:hAnsi="Symbol" w:hint="default"/>
      </w:rPr>
    </w:lvl>
    <w:lvl w:ilvl="1" w:tplc="F03E3848" w:tentative="1">
      <w:start w:val="1"/>
      <w:numFmt w:val="bullet"/>
      <w:lvlText w:val="o"/>
      <w:lvlJc w:val="left"/>
      <w:pPr>
        <w:ind w:left="1440" w:hanging="360"/>
      </w:pPr>
      <w:rPr>
        <w:rFonts w:ascii="Courier New" w:hAnsi="Courier New" w:cs="Courier New" w:hint="default"/>
      </w:rPr>
    </w:lvl>
    <w:lvl w:ilvl="2" w:tplc="8C9A7C8E" w:tentative="1">
      <w:start w:val="1"/>
      <w:numFmt w:val="bullet"/>
      <w:lvlText w:val=""/>
      <w:lvlJc w:val="left"/>
      <w:pPr>
        <w:ind w:left="2160" w:hanging="360"/>
      </w:pPr>
      <w:rPr>
        <w:rFonts w:ascii="Wingdings" w:hAnsi="Wingdings" w:hint="default"/>
      </w:rPr>
    </w:lvl>
    <w:lvl w:ilvl="3" w:tplc="AFE6AE84" w:tentative="1">
      <w:start w:val="1"/>
      <w:numFmt w:val="bullet"/>
      <w:lvlText w:val=""/>
      <w:lvlJc w:val="left"/>
      <w:pPr>
        <w:ind w:left="2880" w:hanging="360"/>
      </w:pPr>
      <w:rPr>
        <w:rFonts w:ascii="Symbol" w:hAnsi="Symbol" w:hint="default"/>
      </w:rPr>
    </w:lvl>
    <w:lvl w:ilvl="4" w:tplc="847AD0F8" w:tentative="1">
      <w:start w:val="1"/>
      <w:numFmt w:val="bullet"/>
      <w:lvlText w:val="o"/>
      <w:lvlJc w:val="left"/>
      <w:pPr>
        <w:ind w:left="3600" w:hanging="360"/>
      </w:pPr>
      <w:rPr>
        <w:rFonts w:ascii="Courier New" w:hAnsi="Courier New" w:cs="Courier New" w:hint="default"/>
      </w:rPr>
    </w:lvl>
    <w:lvl w:ilvl="5" w:tplc="6A2EE966" w:tentative="1">
      <w:start w:val="1"/>
      <w:numFmt w:val="bullet"/>
      <w:lvlText w:val=""/>
      <w:lvlJc w:val="left"/>
      <w:pPr>
        <w:ind w:left="4320" w:hanging="360"/>
      </w:pPr>
      <w:rPr>
        <w:rFonts w:ascii="Wingdings" w:hAnsi="Wingdings" w:hint="default"/>
      </w:rPr>
    </w:lvl>
    <w:lvl w:ilvl="6" w:tplc="935237D4" w:tentative="1">
      <w:start w:val="1"/>
      <w:numFmt w:val="bullet"/>
      <w:lvlText w:val=""/>
      <w:lvlJc w:val="left"/>
      <w:pPr>
        <w:ind w:left="5040" w:hanging="360"/>
      </w:pPr>
      <w:rPr>
        <w:rFonts w:ascii="Symbol" w:hAnsi="Symbol" w:hint="default"/>
      </w:rPr>
    </w:lvl>
    <w:lvl w:ilvl="7" w:tplc="2488E598" w:tentative="1">
      <w:start w:val="1"/>
      <w:numFmt w:val="bullet"/>
      <w:lvlText w:val="o"/>
      <w:lvlJc w:val="left"/>
      <w:pPr>
        <w:ind w:left="5760" w:hanging="360"/>
      </w:pPr>
      <w:rPr>
        <w:rFonts w:ascii="Courier New" w:hAnsi="Courier New" w:cs="Courier New" w:hint="default"/>
      </w:rPr>
    </w:lvl>
    <w:lvl w:ilvl="8" w:tplc="9182A006" w:tentative="1">
      <w:start w:val="1"/>
      <w:numFmt w:val="bullet"/>
      <w:lvlText w:val=""/>
      <w:lvlJc w:val="left"/>
      <w:pPr>
        <w:ind w:left="6480" w:hanging="360"/>
      </w:pPr>
      <w:rPr>
        <w:rFonts w:ascii="Wingdings" w:hAnsi="Wingdings" w:hint="default"/>
      </w:rPr>
    </w:lvl>
  </w:abstractNum>
  <w:abstractNum w:abstractNumId="2" w15:restartNumberingAfterBreak="0">
    <w:nsid w:val="3D662165"/>
    <w:multiLevelType w:val="hybridMultilevel"/>
    <w:tmpl w:val="C1427768"/>
    <w:lvl w:ilvl="0" w:tplc="E7544816">
      <w:start w:val="1"/>
      <w:numFmt w:val="bullet"/>
      <w:lvlText w:val=""/>
      <w:lvlJc w:val="left"/>
      <w:pPr>
        <w:ind w:left="720" w:hanging="360"/>
      </w:pPr>
      <w:rPr>
        <w:rFonts w:ascii="Symbol" w:hAnsi="Symbol" w:hint="default"/>
      </w:rPr>
    </w:lvl>
    <w:lvl w:ilvl="1" w:tplc="F44EF11A" w:tentative="1">
      <w:start w:val="1"/>
      <w:numFmt w:val="bullet"/>
      <w:lvlText w:val="o"/>
      <w:lvlJc w:val="left"/>
      <w:pPr>
        <w:ind w:left="1440" w:hanging="360"/>
      </w:pPr>
      <w:rPr>
        <w:rFonts w:ascii="Courier New" w:hAnsi="Courier New" w:cs="Courier New" w:hint="default"/>
      </w:rPr>
    </w:lvl>
    <w:lvl w:ilvl="2" w:tplc="FAECB8C0" w:tentative="1">
      <w:start w:val="1"/>
      <w:numFmt w:val="bullet"/>
      <w:lvlText w:val=""/>
      <w:lvlJc w:val="left"/>
      <w:pPr>
        <w:ind w:left="2160" w:hanging="360"/>
      </w:pPr>
      <w:rPr>
        <w:rFonts w:ascii="Wingdings" w:hAnsi="Wingdings" w:hint="default"/>
      </w:rPr>
    </w:lvl>
    <w:lvl w:ilvl="3" w:tplc="3BAC81C8" w:tentative="1">
      <w:start w:val="1"/>
      <w:numFmt w:val="bullet"/>
      <w:lvlText w:val=""/>
      <w:lvlJc w:val="left"/>
      <w:pPr>
        <w:ind w:left="2880" w:hanging="360"/>
      </w:pPr>
      <w:rPr>
        <w:rFonts w:ascii="Symbol" w:hAnsi="Symbol" w:hint="default"/>
      </w:rPr>
    </w:lvl>
    <w:lvl w:ilvl="4" w:tplc="4DDEA94A" w:tentative="1">
      <w:start w:val="1"/>
      <w:numFmt w:val="bullet"/>
      <w:lvlText w:val="o"/>
      <w:lvlJc w:val="left"/>
      <w:pPr>
        <w:ind w:left="3600" w:hanging="360"/>
      </w:pPr>
      <w:rPr>
        <w:rFonts w:ascii="Courier New" w:hAnsi="Courier New" w:cs="Courier New" w:hint="default"/>
      </w:rPr>
    </w:lvl>
    <w:lvl w:ilvl="5" w:tplc="14A45C20" w:tentative="1">
      <w:start w:val="1"/>
      <w:numFmt w:val="bullet"/>
      <w:lvlText w:val=""/>
      <w:lvlJc w:val="left"/>
      <w:pPr>
        <w:ind w:left="4320" w:hanging="360"/>
      </w:pPr>
      <w:rPr>
        <w:rFonts w:ascii="Wingdings" w:hAnsi="Wingdings" w:hint="default"/>
      </w:rPr>
    </w:lvl>
    <w:lvl w:ilvl="6" w:tplc="B8DAF8E0" w:tentative="1">
      <w:start w:val="1"/>
      <w:numFmt w:val="bullet"/>
      <w:lvlText w:val=""/>
      <w:lvlJc w:val="left"/>
      <w:pPr>
        <w:ind w:left="5040" w:hanging="360"/>
      </w:pPr>
      <w:rPr>
        <w:rFonts w:ascii="Symbol" w:hAnsi="Symbol" w:hint="default"/>
      </w:rPr>
    </w:lvl>
    <w:lvl w:ilvl="7" w:tplc="669E2EB6" w:tentative="1">
      <w:start w:val="1"/>
      <w:numFmt w:val="bullet"/>
      <w:lvlText w:val="o"/>
      <w:lvlJc w:val="left"/>
      <w:pPr>
        <w:ind w:left="5760" w:hanging="360"/>
      </w:pPr>
      <w:rPr>
        <w:rFonts w:ascii="Courier New" w:hAnsi="Courier New" w:cs="Courier New" w:hint="default"/>
      </w:rPr>
    </w:lvl>
    <w:lvl w:ilvl="8" w:tplc="5636BC08" w:tentative="1">
      <w:start w:val="1"/>
      <w:numFmt w:val="bullet"/>
      <w:lvlText w:val=""/>
      <w:lvlJc w:val="left"/>
      <w:pPr>
        <w:ind w:left="6480" w:hanging="360"/>
      </w:pPr>
      <w:rPr>
        <w:rFonts w:ascii="Wingdings" w:hAnsi="Wingdings" w:hint="default"/>
      </w:rPr>
    </w:lvl>
  </w:abstractNum>
  <w:abstractNum w:abstractNumId="3" w15:restartNumberingAfterBreak="0">
    <w:nsid w:val="434455D1"/>
    <w:multiLevelType w:val="hybridMultilevel"/>
    <w:tmpl w:val="E92CCC74"/>
    <w:lvl w:ilvl="0" w:tplc="8B04B14C">
      <w:start w:val="1"/>
      <w:numFmt w:val="bullet"/>
      <w:lvlText w:val="o"/>
      <w:lvlJc w:val="left"/>
      <w:pPr>
        <w:ind w:left="1080" w:hanging="360"/>
      </w:pPr>
      <w:rPr>
        <w:rFonts w:ascii="Courier New" w:hAnsi="Courier New" w:cs="Courier New" w:hint="default"/>
      </w:rPr>
    </w:lvl>
    <w:lvl w:ilvl="1" w:tplc="4CAE1C1A" w:tentative="1">
      <w:start w:val="1"/>
      <w:numFmt w:val="bullet"/>
      <w:lvlText w:val="o"/>
      <w:lvlJc w:val="left"/>
      <w:pPr>
        <w:ind w:left="1800" w:hanging="360"/>
      </w:pPr>
      <w:rPr>
        <w:rFonts w:ascii="Courier New" w:hAnsi="Courier New" w:cs="Courier New" w:hint="default"/>
      </w:rPr>
    </w:lvl>
    <w:lvl w:ilvl="2" w:tplc="72D85D36" w:tentative="1">
      <w:start w:val="1"/>
      <w:numFmt w:val="bullet"/>
      <w:lvlText w:val=""/>
      <w:lvlJc w:val="left"/>
      <w:pPr>
        <w:ind w:left="2520" w:hanging="360"/>
      </w:pPr>
      <w:rPr>
        <w:rFonts w:ascii="Wingdings" w:hAnsi="Wingdings" w:hint="default"/>
      </w:rPr>
    </w:lvl>
    <w:lvl w:ilvl="3" w:tplc="4808BAE8" w:tentative="1">
      <w:start w:val="1"/>
      <w:numFmt w:val="bullet"/>
      <w:lvlText w:val=""/>
      <w:lvlJc w:val="left"/>
      <w:pPr>
        <w:ind w:left="3240" w:hanging="360"/>
      </w:pPr>
      <w:rPr>
        <w:rFonts w:ascii="Symbol" w:hAnsi="Symbol" w:hint="default"/>
      </w:rPr>
    </w:lvl>
    <w:lvl w:ilvl="4" w:tplc="04466CCC" w:tentative="1">
      <w:start w:val="1"/>
      <w:numFmt w:val="bullet"/>
      <w:lvlText w:val="o"/>
      <w:lvlJc w:val="left"/>
      <w:pPr>
        <w:ind w:left="3960" w:hanging="360"/>
      </w:pPr>
      <w:rPr>
        <w:rFonts w:ascii="Courier New" w:hAnsi="Courier New" w:cs="Courier New" w:hint="default"/>
      </w:rPr>
    </w:lvl>
    <w:lvl w:ilvl="5" w:tplc="553064AC" w:tentative="1">
      <w:start w:val="1"/>
      <w:numFmt w:val="bullet"/>
      <w:lvlText w:val=""/>
      <w:lvlJc w:val="left"/>
      <w:pPr>
        <w:ind w:left="4680" w:hanging="360"/>
      </w:pPr>
      <w:rPr>
        <w:rFonts w:ascii="Wingdings" w:hAnsi="Wingdings" w:hint="default"/>
      </w:rPr>
    </w:lvl>
    <w:lvl w:ilvl="6" w:tplc="9D8EE286" w:tentative="1">
      <w:start w:val="1"/>
      <w:numFmt w:val="bullet"/>
      <w:lvlText w:val=""/>
      <w:lvlJc w:val="left"/>
      <w:pPr>
        <w:ind w:left="5400" w:hanging="360"/>
      </w:pPr>
      <w:rPr>
        <w:rFonts w:ascii="Symbol" w:hAnsi="Symbol" w:hint="default"/>
      </w:rPr>
    </w:lvl>
    <w:lvl w:ilvl="7" w:tplc="EE2CCFDE" w:tentative="1">
      <w:start w:val="1"/>
      <w:numFmt w:val="bullet"/>
      <w:lvlText w:val="o"/>
      <w:lvlJc w:val="left"/>
      <w:pPr>
        <w:ind w:left="6120" w:hanging="360"/>
      </w:pPr>
      <w:rPr>
        <w:rFonts w:ascii="Courier New" w:hAnsi="Courier New" w:cs="Courier New" w:hint="default"/>
      </w:rPr>
    </w:lvl>
    <w:lvl w:ilvl="8" w:tplc="29A613C8" w:tentative="1">
      <w:start w:val="1"/>
      <w:numFmt w:val="bullet"/>
      <w:lvlText w:val=""/>
      <w:lvlJc w:val="left"/>
      <w:pPr>
        <w:ind w:left="6840" w:hanging="360"/>
      </w:pPr>
      <w:rPr>
        <w:rFonts w:ascii="Wingdings" w:hAnsi="Wingdings" w:hint="default"/>
      </w:rPr>
    </w:lvl>
  </w:abstractNum>
  <w:abstractNum w:abstractNumId="4" w15:restartNumberingAfterBreak="0">
    <w:nsid w:val="44EF5381"/>
    <w:multiLevelType w:val="hybridMultilevel"/>
    <w:tmpl w:val="6CB27C3E"/>
    <w:lvl w:ilvl="0" w:tplc="E15036F0">
      <w:start w:val="1"/>
      <w:numFmt w:val="bullet"/>
      <w:lvlText w:val=""/>
      <w:lvlJc w:val="left"/>
      <w:pPr>
        <w:ind w:left="720" w:hanging="360"/>
      </w:pPr>
      <w:rPr>
        <w:rFonts w:ascii="Symbol" w:hAnsi="Symbol" w:hint="default"/>
      </w:rPr>
    </w:lvl>
    <w:lvl w:ilvl="1" w:tplc="ED36E7E2" w:tentative="1">
      <w:start w:val="1"/>
      <w:numFmt w:val="bullet"/>
      <w:lvlText w:val="o"/>
      <w:lvlJc w:val="left"/>
      <w:pPr>
        <w:ind w:left="1440" w:hanging="360"/>
      </w:pPr>
      <w:rPr>
        <w:rFonts w:ascii="Courier New" w:hAnsi="Courier New" w:cs="Courier New" w:hint="default"/>
      </w:rPr>
    </w:lvl>
    <w:lvl w:ilvl="2" w:tplc="46F82D96" w:tentative="1">
      <w:start w:val="1"/>
      <w:numFmt w:val="bullet"/>
      <w:lvlText w:val=""/>
      <w:lvlJc w:val="left"/>
      <w:pPr>
        <w:ind w:left="2160" w:hanging="360"/>
      </w:pPr>
      <w:rPr>
        <w:rFonts w:ascii="Wingdings" w:hAnsi="Wingdings" w:hint="default"/>
      </w:rPr>
    </w:lvl>
    <w:lvl w:ilvl="3" w:tplc="2DFA4A50" w:tentative="1">
      <w:start w:val="1"/>
      <w:numFmt w:val="bullet"/>
      <w:lvlText w:val=""/>
      <w:lvlJc w:val="left"/>
      <w:pPr>
        <w:ind w:left="2880" w:hanging="360"/>
      </w:pPr>
      <w:rPr>
        <w:rFonts w:ascii="Symbol" w:hAnsi="Symbol" w:hint="default"/>
      </w:rPr>
    </w:lvl>
    <w:lvl w:ilvl="4" w:tplc="743826E4" w:tentative="1">
      <w:start w:val="1"/>
      <w:numFmt w:val="bullet"/>
      <w:lvlText w:val="o"/>
      <w:lvlJc w:val="left"/>
      <w:pPr>
        <w:ind w:left="3600" w:hanging="360"/>
      </w:pPr>
      <w:rPr>
        <w:rFonts w:ascii="Courier New" w:hAnsi="Courier New" w:cs="Courier New" w:hint="default"/>
      </w:rPr>
    </w:lvl>
    <w:lvl w:ilvl="5" w:tplc="780E3E5E" w:tentative="1">
      <w:start w:val="1"/>
      <w:numFmt w:val="bullet"/>
      <w:lvlText w:val=""/>
      <w:lvlJc w:val="left"/>
      <w:pPr>
        <w:ind w:left="4320" w:hanging="360"/>
      </w:pPr>
      <w:rPr>
        <w:rFonts w:ascii="Wingdings" w:hAnsi="Wingdings" w:hint="default"/>
      </w:rPr>
    </w:lvl>
    <w:lvl w:ilvl="6" w:tplc="1BF0151A" w:tentative="1">
      <w:start w:val="1"/>
      <w:numFmt w:val="bullet"/>
      <w:lvlText w:val=""/>
      <w:lvlJc w:val="left"/>
      <w:pPr>
        <w:ind w:left="5040" w:hanging="360"/>
      </w:pPr>
      <w:rPr>
        <w:rFonts w:ascii="Symbol" w:hAnsi="Symbol" w:hint="default"/>
      </w:rPr>
    </w:lvl>
    <w:lvl w:ilvl="7" w:tplc="FD1E2FB0" w:tentative="1">
      <w:start w:val="1"/>
      <w:numFmt w:val="bullet"/>
      <w:lvlText w:val="o"/>
      <w:lvlJc w:val="left"/>
      <w:pPr>
        <w:ind w:left="5760" w:hanging="360"/>
      </w:pPr>
      <w:rPr>
        <w:rFonts w:ascii="Courier New" w:hAnsi="Courier New" w:cs="Courier New" w:hint="default"/>
      </w:rPr>
    </w:lvl>
    <w:lvl w:ilvl="8" w:tplc="FE20C194" w:tentative="1">
      <w:start w:val="1"/>
      <w:numFmt w:val="bullet"/>
      <w:lvlText w:val=""/>
      <w:lvlJc w:val="left"/>
      <w:pPr>
        <w:ind w:left="6480" w:hanging="360"/>
      </w:pPr>
      <w:rPr>
        <w:rFonts w:ascii="Wingdings" w:hAnsi="Wingdings" w:hint="default"/>
      </w:rPr>
    </w:lvl>
  </w:abstractNum>
  <w:abstractNum w:abstractNumId="5" w15:restartNumberingAfterBreak="0">
    <w:nsid w:val="50367233"/>
    <w:multiLevelType w:val="hybridMultilevel"/>
    <w:tmpl w:val="C69CFFDE"/>
    <w:lvl w:ilvl="0" w:tplc="BCA0B73C">
      <w:start w:val="1"/>
      <w:numFmt w:val="bullet"/>
      <w:lvlText w:val=""/>
      <w:lvlJc w:val="left"/>
      <w:pPr>
        <w:ind w:left="720" w:hanging="360"/>
      </w:pPr>
      <w:rPr>
        <w:rFonts w:ascii="Symbol" w:hAnsi="Symbol" w:hint="default"/>
      </w:rPr>
    </w:lvl>
    <w:lvl w:ilvl="1" w:tplc="13FACF18" w:tentative="1">
      <w:start w:val="1"/>
      <w:numFmt w:val="bullet"/>
      <w:lvlText w:val="o"/>
      <w:lvlJc w:val="left"/>
      <w:pPr>
        <w:ind w:left="1440" w:hanging="360"/>
      </w:pPr>
      <w:rPr>
        <w:rFonts w:ascii="Courier New" w:hAnsi="Courier New" w:cs="Courier New" w:hint="default"/>
      </w:rPr>
    </w:lvl>
    <w:lvl w:ilvl="2" w:tplc="69B6FE34" w:tentative="1">
      <w:start w:val="1"/>
      <w:numFmt w:val="bullet"/>
      <w:lvlText w:val=""/>
      <w:lvlJc w:val="left"/>
      <w:pPr>
        <w:ind w:left="2160" w:hanging="360"/>
      </w:pPr>
      <w:rPr>
        <w:rFonts w:ascii="Wingdings" w:hAnsi="Wingdings" w:hint="default"/>
      </w:rPr>
    </w:lvl>
    <w:lvl w:ilvl="3" w:tplc="DF4AD76C" w:tentative="1">
      <w:start w:val="1"/>
      <w:numFmt w:val="bullet"/>
      <w:lvlText w:val=""/>
      <w:lvlJc w:val="left"/>
      <w:pPr>
        <w:ind w:left="2880" w:hanging="360"/>
      </w:pPr>
      <w:rPr>
        <w:rFonts w:ascii="Symbol" w:hAnsi="Symbol" w:hint="default"/>
      </w:rPr>
    </w:lvl>
    <w:lvl w:ilvl="4" w:tplc="F474942C" w:tentative="1">
      <w:start w:val="1"/>
      <w:numFmt w:val="bullet"/>
      <w:lvlText w:val="o"/>
      <w:lvlJc w:val="left"/>
      <w:pPr>
        <w:ind w:left="3600" w:hanging="360"/>
      </w:pPr>
      <w:rPr>
        <w:rFonts w:ascii="Courier New" w:hAnsi="Courier New" w:cs="Courier New" w:hint="default"/>
      </w:rPr>
    </w:lvl>
    <w:lvl w:ilvl="5" w:tplc="C53AE272" w:tentative="1">
      <w:start w:val="1"/>
      <w:numFmt w:val="bullet"/>
      <w:lvlText w:val=""/>
      <w:lvlJc w:val="left"/>
      <w:pPr>
        <w:ind w:left="4320" w:hanging="360"/>
      </w:pPr>
      <w:rPr>
        <w:rFonts w:ascii="Wingdings" w:hAnsi="Wingdings" w:hint="default"/>
      </w:rPr>
    </w:lvl>
    <w:lvl w:ilvl="6" w:tplc="CD98F75E" w:tentative="1">
      <w:start w:val="1"/>
      <w:numFmt w:val="bullet"/>
      <w:lvlText w:val=""/>
      <w:lvlJc w:val="left"/>
      <w:pPr>
        <w:ind w:left="5040" w:hanging="360"/>
      </w:pPr>
      <w:rPr>
        <w:rFonts w:ascii="Symbol" w:hAnsi="Symbol" w:hint="default"/>
      </w:rPr>
    </w:lvl>
    <w:lvl w:ilvl="7" w:tplc="672EE2F4" w:tentative="1">
      <w:start w:val="1"/>
      <w:numFmt w:val="bullet"/>
      <w:lvlText w:val="o"/>
      <w:lvlJc w:val="left"/>
      <w:pPr>
        <w:ind w:left="5760" w:hanging="360"/>
      </w:pPr>
      <w:rPr>
        <w:rFonts w:ascii="Courier New" w:hAnsi="Courier New" w:cs="Courier New" w:hint="default"/>
      </w:rPr>
    </w:lvl>
    <w:lvl w:ilvl="8" w:tplc="4BD8F148" w:tentative="1">
      <w:start w:val="1"/>
      <w:numFmt w:val="bullet"/>
      <w:lvlText w:val=""/>
      <w:lvlJc w:val="left"/>
      <w:pPr>
        <w:ind w:left="6480" w:hanging="360"/>
      </w:pPr>
      <w:rPr>
        <w:rFonts w:ascii="Wingdings" w:hAnsi="Wingdings" w:hint="default"/>
      </w:rPr>
    </w:lvl>
  </w:abstractNum>
  <w:abstractNum w:abstractNumId="6" w15:restartNumberingAfterBreak="0">
    <w:nsid w:val="5B3E14F5"/>
    <w:multiLevelType w:val="hybridMultilevel"/>
    <w:tmpl w:val="26F4BD3E"/>
    <w:lvl w:ilvl="0" w:tplc="976201C0">
      <w:start w:val="1"/>
      <w:numFmt w:val="bullet"/>
      <w:lvlText w:val=""/>
      <w:lvlJc w:val="left"/>
      <w:pPr>
        <w:ind w:left="720" w:hanging="360"/>
      </w:pPr>
      <w:rPr>
        <w:rFonts w:ascii="Symbol" w:hAnsi="Symbol" w:hint="default"/>
      </w:rPr>
    </w:lvl>
    <w:lvl w:ilvl="1" w:tplc="83F24174" w:tentative="1">
      <w:start w:val="1"/>
      <w:numFmt w:val="bullet"/>
      <w:lvlText w:val="o"/>
      <w:lvlJc w:val="left"/>
      <w:pPr>
        <w:ind w:left="1440" w:hanging="360"/>
      </w:pPr>
      <w:rPr>
        <w:rFonts w:ascii="Courier New" w:hAnsi="Courier New" w:cs="Courier New" w:hint="default"/>
      </w:rPr>
    </w:lvl>
    <w:lvl w:ilvl="2" w:tplc="69A42312" w:tentative="1">
      <w:start w:val="1"/>
      <w:numFmt w:val="bullet"/>
      <w:lvlText w:val=""/>
      <w:lvlJc w:val="left"/>
      <w:pPr>
        <w:ind w:left="2160" w:hanging="360"/>
      </w:pPr>
      <w:rPr>
        <w:rFonts w:ascii="Wingdings" w:hAnsi="Wingdings" w:hint="default"/>
      </w:rPr>
    </w:lvl>
    <w:lvl w:ilvl="3" w:tplc="CA7EF678" w:tentative="1">
      <w:start w:val="1"/>
      <w:numFmt w:val="bullet"/>
      <w:lvlText w:val=""/>
      <w:lvlJc w:val="left"/>
      <w:pPr>
        <w:ind w:left="2880" w:hanging="360"/>
      </w:pPr>
      <w:rPr>
        <w:rFonts w:ascii="Symbol" w:hAnsi="Symbol" w:hint="default"/>
      </w:rPr>
    </w:lvl>
    <w:lvl w:ilvl="4" w:tplc="1DACAB9C" w:tentative="1">
      <w:start w:val="1"/>
      <w:numFmt w:val="bullet"/>
      <w:lvlText w:val="o"/>
      <w:lvlJc w:val="left"/>
      <w:pPr>
        <w:ind w:left="3600" w:hanging="360"/>
      </w:pPr>
      <w:rPr>
        <w:rFonts w:ascii="Courier New" w:hAnsi="Courier New" w:cs="Courier New" w:hint="default"/>
      </w:rPr>
    </w:lvl>
    <w:lvl w:ilvl="5" w:tplc="0BAAC2EA" w:tentative="1">
      <w:start w:val="1"/>
      <w:numFmt w:val="bullet"/>
      <w:lvlText w:val=""/>
      <w:lvlJc w:val="left"/>
      <w:pPr>
        <w:ind w:left="4320" w:hanging="360"/>
      </w:pPr>
      <w:rPr>
        <w:rFonts w:ascii="Wingdings" w:hAnsi="Wingdings" w:hint="default"/>
      </w:rPr>
    </w:lvl>
    <w:lvl w:ilvl="6" w:tplc="1CB82880" w:tentative="1">
      <w:start w:val="1"/>
      <w:numFmt w:val="bullet"/>
      <w:lvlText w:val=""/>
      <w:lvlJc w:val="left"/>
      <w:pPr>
        <w:ind w:left="5040" w:hanging="360"/>
      </w:pPr>
      <w:rPr>
        <w:rFonts w:ascii="Symbol" w:hAnsi="Symbol" w:hint="default"/>
      </w:rPr>
    </w:lvl>
    <w:lvl w:ilvl="7" w:tplc="2A82369E" w:tentative="1">
      <w:start w:val="1"/>
      <w:numFmt w:val="bullet"/>
      <w:lvlText w:val="o"/>
      <w:lvlJc w:val="left"/>
      <w:pPr>
        <w:ind w:left="5760" w:hanging="360"/>
      </w:pPr>
      <w:rPr>
        <w:rFonts w:ascii="Courier New" w:hAnsi="Courier New" w:cs="Courier New" w:hint="default"/>
      </w:rPr>
    </w:lvl>
    <w:lvl w:ilvl="8" w:tplc="A30A41F0" w:tentative="1">
      <w:start w:val="1"/>
      <w:numFmt w:val="bullet"/>
      <w:lvlText w:val=""/>
      <w:lvlJc w:val="left"/>
      <w:pPr>
        <w:ind w:left="6480" w:hanging="360"/>
      </w:pPr>
      <w:rPr>
        <w:rFonts w:ascii="Wingdings" w:hAnsi="Wingdings" w:hint="default"/>
      </w:rPr>
    </w:lvl>
  </w:abstractNum>
  <w:abstractNum w:abstractNumId="7" w15:restartNumberingAfterBreak="0">
    <w:nsid w:val="6E714522"/>
    <w:multiLevelType w:val="hybridMultilevel"/>
    <w:tmpl w:val="BA96C550"/>
    <w:lvl w:ilvl="0" w:tplc="51FEF738">
      <w:start w:val="1"/>
      <w:numFmt w:val="bullet"/>
      <w:lvlText w:val=""/>
      <w:lvlJc w:val="left"/>
      <w:pPr>
        <w:tabs>
          <w:tab w:val="num" w:pos="720"/>
        </w:tabs>
        <w:ind w:left="720" w:hanging="360"/>
      </w:pPr>
      <w:rPr>
        <w:rFonts w:ascii="Symbol" w:hAnsi="Symbol" w:hint="default"/>
      </w:rPr>
    </w:lvl>
    <w:lvl w:ilvl="1" w:tplc="CAF6BC7E" w:tentative="1">
      <w:start w:val="1"/>
      <w:numFmt w:val="bullet"/>
      <w:lvlText w:val="o"/>
      <w:lvlJc w:val="left"/>
      <w:pPr>
        <w:ind w:left="1440" w:hanging="360"/>
      </w:pPr>
      <w:rPr>
        <w:rFonts w:ascii="Courier New" w:hAnsi="Courier New" w:cs="Courier New" w:hint="default"/>
      </w:rPr>
    </w:lvl>
    <w:lvl w:ilvl="2" w:tplc="E7C06358" w:tentative="1">
      <w:start w:val="1"/>
      <w:numFmt w:val="bullet"/>
      <w:lvlText w:val=""/>
      <w:lvlJc w:val="left"/>
      <w:pPr>
        <w:ind w:left="2160" w:hanging="360"/>
      </w:pPr>
      <w:rPr>
        <w:rFonts w:ascii="Wingdings" w:hAnsi="Wingdings" w:hint="default"/>
      </w:rPr>
    </w:lvl>
    <w:lvl w:ilvl="3" w:tplc="8DE2C28C" w:tentative="1">
      <w:start w:val="1"/>
      <w:numFmt w:val="bullet"/>
      <w:lvlText w:val=""/>
      <w:lvlJc w:val="left"/>
      <w:pPr>
        <w:ind w:left="2880" w:hanging="360"/>
      </w:pPr>
      <w:rPr>
        <w:rFonts w:ascii="Symbol" w:hAnsi="Symbol" w:hint="default"/>
      </w:rPr>
    </w:lvl>
    <w:lvl w:ilvl="4" w:tplc="075A876C" w:tentative="1">
      <w:start w:val="1"/>
      <w:numFmt w:val="bullet"/>
      <w:lvlText w:val="o"/>
      <w:lvlJc w:val="left"/>
      <w:pPr>
        <w:ind w:left="3600" w:hanging="360"/>
      </w:pPr>
      <w:rPr>
        <w:rFonts w:ascii="Courier New" w:hAnsi="Courier New" w:cs="Courier New" w:hint="default"/>
      </w:rPr>
    </w:lvl>
    <w:lvl w:ilvl="5" w:tplc="D6D2C4CC" w:tentative="1">
      <w:start w:val="1"/>
      <w:numFmt w:val="bullet"/>
      <w:lvlText w:val=""/>
      <w:lvlJc w:val="left"/>
      <w:pPr>
        <w:ind w:left="4320" w:hanging="360"/>
      </w:pPr>
      <w:rPr>
        <w:rFonts w:ascii="Wingdings" w:hAnsi="Wingdings" w:hint="default"/>
      </w:rPr>
    </w:lvl>
    <w:lvl w:ilvl="6" w:tplc="83CED802" w:tentative="1">
      <w:start w:val="1"/>
      <w:numFmt w:val="bullet"/>
      <w:lvlText w:val=""/>
      <w:lvlJc w:val="left"/>
      <w:pPr>
        <w:ind w:left="5040" w:hanging="360"/>
      </w:pPr>
      <w:rPr>
        <w:rFonts w:ascii="Symbol" w:hAnsi="Symbol" w:hint="default"/>
      </w:rPr>
    </w:lvl>
    <w:lvl w:ilvl="7" w:tplc="80D29890" w:tentative="1">
      <w:start w:val="1"/>
      <w:numFmt w:val="bullet"/>
      <w:lvlText w:val="o"/>
      <w:lvlJc w:val="left"/>
      <w:pPr>
        <w:ind w:left="5760" w:hanging="360"/>
      </w:pPr>
      <w:rPr>
        <w:rFonts w:ascii="Courier New" w:hAnsi="Courier New" w:cs="Courier New" w:hint="default"/>
      </w:rPr>
    </w:lvl>
    <w:lvl w:ilvl="8" w:tplc="49B0401A" w:tentative="1">
      <w:start w:val="1"/>
      <w:numFmt w:val="bullet"/>
      <w:lvlText w:val=""/>
      <w:lvlJc w:val="left"/>
      <w:pPr>
        <w:ind w:left="6480" w:hanging="360"/>
      </w:pPr>
      <w:rPr>
        <w:rFonts w:ascii="Wingdings" w:hAnsi="Wingdings" w:hint="default"/>
      </w:rPr>
    </w:lvl>
  </w:abstractNum>
  <w:abstractNum w:abstractNumId="8" w15:restartNumberingAfterBreak="0">
    <w:nsid w:val="77705635"/>
    <w:multiLevelType w:val="hybridMultilevel"/>
    <w:tmpl w:val="088072CC"/>
    <w:lvl w:ilvl="0" w:tplc="1B2E3430">
      <w:start w:val="1"/>
      <w:numFmt w:val="bullet"/>
      <w:lvlText w:val=""/>
      <w:lvlJc w:val="left"/>
      <w:pPr>
        <w:ind w:left="720" w:hanging="360"/>
      </w:pPr>
      <w:rPr>
        <w:rFonts w:ascii="Symbol" w:hAnsi="Symbol" w:hint="default"/>
      </w:rPr>
    </w:lvl>
    <w:lvl w:ilvl="1" w:tplc="A21C9D8E" w:tentative="1">
      <w:start w:val="1"/>
      <w:numFmt w:val="bullet"/>
      <w:lvlText w:val="o"/>
      <w:lvlJc w:val="left"/>
      <w:pPr>
        <w:ind w:left="1440" w:hanging="360"/>
      </w:pPr>
      <w:rPr>
        <w:rFonts w:ascii="Courier New" w:hAnsi="Courier New" w:cs="Courier New" w:hint="default"/>
      </w:rPr>
    </w:lvl>
    <w:lvl w:ilvl="2" w:tplc="F468D89E" w:tentative="1">
      <w:start w:val="1"/>
      <w:numFmt w:val="bullet"/>
      <w:lvlText w:val=""/>
      <w:lvlJc w:val="left"/>
      <w:pPr>
        <w:ind w:left="2160" w:hanging="360"/>
      </w:pPr>
      <w:rPr>
        <w:rFonts w:ascii="Wingdings" w:hAnsi="Wingdings" w:hint="default"/>
      </w:rPr>
    </w:lvl>
    <w:lvl w:ilvl="3" w:tplc="E204547C" w:tentative="1">
      <w:start w:val="1"/>
      <w:numFmt w:val="bullet"/>
      <w:lvlText w:val=""/>
      <w:lvlJc w:val="left"/>
      <w:pPr>
        <w:ind w:left="2880" w:hanging="360"/>
      </w:pPr>
      <w:rPr>
        <w:rFonts w:ascii="Symbol" w:hAnsi="Symbol" w:hint="default"/>
      </w:rPr>
    </w:lvl>
    <w:lvl w:ilvl="4" w:tplc="9D6CA08A" w:tentative="1">
      <w:start w:val="1"/>
      <w:numFmt w:val="bullet"/>
      <w:lvlText w:val="o"/>
      <w:lvlJc w:val="left"/>
      <w:pPr>
        <w:ind w:left="3600" w:hanging="360"/>
      </w:pPr>
      <w:rPr>
        <w:rFonts w:ascii="Courier New" w:hAnsi="Courier New" w:cs="Courier New" w:hint="default"/>
      </w:rPr>
    </w:lvl>
    <w:lvl w:ilvl="5" w:tplc="3CBA18FE" w:tentative="1">
      <w:start w:val="1"/>
      <w:numFmt w:val="bullet"/>
      <w:lvlText w:val=""/>
      <w:lvlJc w:val="left"/>
      <w:pPr>
        <w:ind w:left="4320" w:hanging="360"/>
      </w:pPr>
      <w:rPr>
        <w:rFonts w:ascii="Wingdings" w:hAnsi="Wingdings" w:hint="default"/>
      </w:rPr>
    </w:lvl>
    <w:lvl w:ilvl="6" w:tplc="209C58E6" w:tentative="1">
      <w:start w:val="1"/>
      <w:numFmt w:val="bullet"/>
      <w:lvlText w:val=""/>
      <w:lvlJc w:val="left"/>
      <w:pPr>
        <w:ind w:left="5040" w:hanging="360"/>
      </w:pPr>
      <w:rPr>
        <w:rFonts w:ascii="Symbol" w:hAnsi="Symbol" w:hint="default"/>
      </w:rPr>
    </w:lvl>
    <w:lvl w:ilvl="7" w:tplc="F4F2A89A" w:tentative="1">
      <w:start w:val="1"/>
      <w:numFmt w:val="bullet"/>
      <w:lvlText w:val="o"/>
      <w:lvlJc w:val="left"/>
      <w:pPr>
        <w:ind w:left="5760" w:hanging="360"/>
      </w:pPr>
      <w:rPr>
        <w:rFonts w:ascii="Courier New" w:hAnsi="Courier New" w:cs="Courier New" w:hint="default"/>
      </w:rPr>
    </w:lvl>
    <w:lvl w:ilvl="8" w:tplc="CE3A1E1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01"/>
    <w:rsid w:val="00000A70"/>
    <w:rsid w:val="000032B8"/>
    <w:rsid w:val="00003B06"/>
    <w:rsid w:val="000054B9"/>
    <w:rsid w:val="000066B0"/>
    <w:rsid w:val="00007461"/>
    <w:rsid w:val="0001117E"/>
    <w:rsid w:val="0001125F"/>
    <w:rsid w:val="00012DB7"/>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F0D"/>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5EC"/>
    <w:rsid w:val="00087C7E"/>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6FA2"/>
    <w:rsid w:val="000C76D7"/>
    <w:rsid w:val="000C7F1D"/>
    <w:rsid w:val="000D118E"/>
    <w:rsid w:val="000D2EBA"/>
    <w:rsid w:val="000D32A1"/>
    <w:rsid w:val="000D3725"/>
    <w:rsid w:val="000D46E5"/>
    <w:rsid w:val="000D769C"/>
    <w:rsid w:val="000E1976"/>
    <w:rsid w:val="000E20F1"/>
    <w:rsid w:val="000E5B20"/>
    <w:rsid w:val="000E6032"/>
    <w:rsid w:val="000E7C14"/>
    <w:rsid w:val="000F094C"/>
    <w:rsid w:val="000F18A2"/>
    <w:rsid w:val="000F2A7F"/>
    <w:rsid w:val="000F3DBD"/>
    <w:rsid w:val="000F5843"/>
    <w:rsid w:val="000F5BA5"/>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4A2F"/>
    <w:rsid w:val="00127893"/>
    <w:rsid w:val="001312BB"/>
    <w:rsid w:val="00137D90"/>
    <w:rsid w:val="00141FB6"/>
    <w:rsid w:val="00142F8E"/>
    <w:rsid w:val="00143C8B"/>
    <w:rsid w:val="00147530"/>
    <w:rsid w:val="00150436"/>
    <w:rsid w:val="0015331F"/>
    <w:rsid w:val="00156AB2"/>
    <w:rsid w:val="00160402"/>
    <w:rsid w:val="00160571"/>
    <w:rsid w:val="00160AC1"/>
    <w:rsid w:val="00161E93"/>
    <w:rsid w:val="00162C7A"/>
    <w:rsid w:val="00162DAE"/>
    <w:rsid w:val="00162E00"/>
    <w:rsid w:val="001639C5"/>
    <w:rsid w:val="00163E45"/>
    <w:rsid w:val="001664C2"/>
    <w:rsid w:val="00171BF2"/>
    <w:rsid w:val="0017347B"/>
    <w:rsid w:val="0017725B"/>
    <w:rsid w:val="0018050C"/>
    <w:rsid w:val="0018117F"/>
    <w:rsid w:val="001824ED"/>
    <w:rsid w:val="00183262"/>
    <w:rsid w:val="00184B03"/>
    <w:rsid w:val="001851A1"/>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169"/>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0E9"/>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648"/>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38A3"/>
    <w:rsid w:val="0028492A"/>
    <w:rsid w:val="00286E9D"/>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3B9"/>
    <w:rsid w:val="00314821"/>
    <w:rsid w:val="0031483F"/>
    <w:rsid w:val="0031741B"/>
    <w:rsid w:val="00321337"/>
    <w:rsid w:val="00321F2F"/>
    <w:rsid w:val="003237F6"/>
    <w:rsid w:val="00324077"/>
    <w:rsid w:val="0032453B"/>
    <w:rsid w:val="00324868"/>
    <w:rsid w:val="00326230"/>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0F3"/>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11B"/>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0CE"/>
    <w:rsid w:val="004051B1"/>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548"/>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4E5D"/>
    <w:rsid w:val="004C52EF"/>
    <w:rsid w:val="004C5F34"/>
    <w:rsid w:val="004C600C"/>
    <w:rsid w:val="004C7888"/>
    <w:rsid w:val="004D1AC9"/>
    <w:rsid w:val="004D27DE"/>
    <w:rsid w:val="004D3F41"/>
    <w:rsid w:val="004D5098"/>
    <w:rsid w:val="004D6497"/>
    <w:rsid w:val="004E0E60"/>
    <w:rsid w:val="004E12A3"/>
    <w:rsid w:val="004E2492"/>
    <w:rsid w:val="004E2BC4"/>
    <w:rsid w:val="004E3096"/>
    <w:rsid w:val="004E47F2"/>
    <w:rsid w:val="004E4E2B"/>
    <w:rsid w:val="004E5D4F"/>
    <w:rsid w:val="004E5DEA"/>
    <w:rsid w:val="004E6639"/>
    <w:rsid w:val="004E6BAE"/>
    <w:rsid w:val="004F1C93"/>
    <w:rsid w:val="004F32AD"/>
    <w:rsid w:val="004F57CB"/>
    <w:rsid w:val="004F64F6"/>
    <w:rsid w:val="004F69C0"/>
    <w:rsid w:val="00500121"/>
    <w:rsid w:val="005017AC"/>
    <w:rsid w:val="00501E8A"/>
    <w:rsid w:val="00505121"/>
    <w:rsid w:val="00505C04"/>
    <w:rsid w:val="00505F1B"/>
    <w:rsid w:val="005073E8"/>
    <w:rsid w:val="00510503"/>
    <w:rsid w:val="00512BC3"/>
    <w:rsid w:val="0051324D"/>
    <w:rsid w:val="00515466"/>
    <w:rsid w:val="005154F7"/>
    <w:rsid w:val="005159DE"/>
    <w:rsid w:val="005269CE"/>
    <w:rsid w:val="00526E1D"/>
    <w:rsid w:val="005304B2"/>
    <w:rsid w:val="005336BD"/>
    <w:rsid w:val="00534A49"/>
    <w:rsid w:val="00535C00"/>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4E0"/>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95C"/>
    <w:rsid w:val="00632928"/>
    <w:rsid w:val="006330DA"/>
    <w:rsid w:val="00633262"/>
    <w:rsid w:val="00633460"/>
    <w:rsid w:val="00634329"/>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FA4"/>
    <w:rsid w:val="006757AA"/>
    <w:rsid w:val="0068127E"/>
    <w:rsid w:val="00681790"/>
    <w:rsid w:val="006823AA"/>
    <w:rsid w:val="00684B98"/>
    <w:rsid w:val="00685DC9"/>
    <w:rsid w:val="00687465"/>
    <w:rsid w:val="006907CF"/>
    <w:rsid w:val="00691CCF"/>
    <w:rsid w:val="00693AFA"/>
    <w:rsid w:val="00693AFD"/>
    <w:rsid w:val="00695101"/>
    <w:rsid w:val="00695B9A"/>
    <w:rsid w:val="00696563"/>
    <w:rsid w:val="006979F8"/>
    <w:rsid w:val="006A02C5"/>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154"/>
    <w:rsid w:val="006D3005"/>
    <w:rsid w:val="006D3DEE"/>
    <w:rsid w:val="006D504F"/>
    <w:rsid w:val="006E0CAC"/>
    <w:rsid w:val="006E1CFB"/>
    <w:rsid w:val="006E1F94"/>
    <w:rsid w:val="006E26C1"/>
    <w:rsid w:val="006E30A8"/>
    <w:rsid w:val="006E45B0"/>
    <w:rsid w:val="006E5692"/>
    <w:rsid w:val="006F2DDC"/>
    <w:rsid w:val="006F365D"/>
    <w:rsid w:val="006F4BB0"/>
    <w:rsid w:val="007012D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A50"/>
    <w:rsid w:val="00735B9D"/>
    <w:rsid w:val="007365A5"/>
    <w:rsid w:val="00736FB0"/>
    <w:rsid w:val="007404BC"/>
    <w:rsid w:val="00740D13"/>
    <w:rsid w:val="00740F5F"/>
    <w:rsid w:val="00742794"/>
    <w:rsid w:val="00743AFA"/>
    <w:rsid w:val="00743C4C"/>
    <w:rsid w:val="007445B7"/>
    <w:rsid w:val="00744920"/>
    <w:rsid w:val="007509BE"/>
    <w:rsid w:val="0075287B"/>
    <w:rsid w:val="007529FA"/>
    <w:rsid w:val="00755C7B"/>
    <w:rsid w:val="00764786"/>
    <w:rsid w:val="00766E12"/>
    <w:rsid w:val="007700BF"/>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0C6"/>
    <w:rsid w:val="007A5466"/>
    <w:rsid w:val="007A7EC1"/>
    <w:rsid w:val="007B4480"/>
    <w:rsid w:val="007B4FCA"/>
    <w:rsid w:val="007B7B85"/>
    <w:rsid w:val="007C30CA"/>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3B36"/>
    <w:rsid w:val="00805402"/>
    <w:rsid w:val="0080765F"/>
    <w:rsid w:val="00812BE3"/>
    <w:rsid w:val="00814516"/>
    <w:rsid w:val="00815C9D"/>
    <w:rsid w:val="008170E2"/>
    <w:rsid w:val="00823E4C"/>
    <w:rsid w:val="00827749"/>
    <w:rsid w:val="00827B7E"/>
    <w:rsid w:val="00830EEB"/>
    <w:rsid w:val="00832801"/>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AE4"/>
    <w:rsid w:val="00907EDD"/>
    <w:rsid w:val="009107AD"/>
    <w:rsid w:val="00915568"/>
    <w:rsid w:val="00915BE2"/>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D56"/>
    <w:rsid w:val="009B69AD"/>
    <w:rsid w:val="009B7806"/>
    <w:rsid w:val="009C05C1"/>
    <w:rsid w:val="009C1E9A"/>
    <w:rsid w:val="009C2A33"/>
    <w:rsid w:val="009C2E49"/>
    <w:rsid w:val="009C36CD"/>
    <w:rsid w:val="009C43A5"/>
    <w:rsid w:val="009C5A1D"/>
    <w:rsid w:val="009C6B08"/>
    <w:rsid w:val="009C70FC"/>
    <w:rsid w:val="009D002B"/>
    <w:rsid w:val="009D0C32"/>
    <w:rsid w:val="009D37C7"/>
    <w:rsid w:val="009D4BBD"/>
    <w:rsid w:val="009D5A41"/>
    <w:rsid w:val="009E13BF"/>
    <w:rsid w:val="009E3631"/>
    <w:rsid w:val="009E3EB9"/>
    <w:rsid w:val="009E69C2"/>
    <w:rsid w:val="009E70AF"/>
    <w:rsid w:val="009E7AEB"/>
    <w:rsid w:val="009F0234"/>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10F3"/>
    <w:rsid w:val="00A416C6"/>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C0A"/>
    <w:rsid w:val="00A803CF"/>
    <w:rsid w:val="00A8133F"/>
    <w:rsid w:val="00A82CB4"/>
    <w:rsid w:val="00A837A8"/>
    <w:rsid w:val="00A83C36"/>
    <w:rsid w:val="00A86FF9"/>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68B"/>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822"/>
    <w:rsid w:val="00B14BD2"/>
    <w:rsid w:val="00B1557F"/>
    <w:rsid w:val="00B1668D"/>
    <w:rsid w:val="00B17981"/>
    <w:rsid w:val="00B233BB"/>
    <w:rsid w:val="00B25612"/>
    <w:rsid w:val="00B26437"/>
    <w:rsid w:val="00B2678E"/>
    <w:rsid w:val="00B30647"/>
    <w:rsid w:val="00B31F0E"/>
    <w:rsid w:val="00B34F25"/>
    <w:rsid w:val="00B36F4E"/>
    <w:rsid w:val="00B43672"/>
    <w:rsid w:val="00B473D8"/>
    <w:rsid w:val="00B5165A"/>
    <w:rsid w:val="00B524C1"/>
    <w:rsid w:val="00B52C8D"/>
    <w:rsid w:val="00B535D1"/>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59D3"/>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6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896"/>
    <w:rsid w:val="00D060A8"/>
    <w:rsid w:val="00D06605"/>
    <w:rsid w:val="00D0720F"/>
    <w:rsid w:val="00D074E2"/>
    <w:rsid w:val="00D11B0B"/>
    <w:rsid w:val="00D12A3E"/>
    <w:rsid w:val="00D146D9"/>
    <w:rsid w:val="00D22160"/>
    <w:rsid w:val="00D22172"/>
    <w:rsid w:val="00D2301B"/>
    <w:rsid w:val="00D239EE"/>
    <w:rsid w:val="00D30534"/>
    <w:rsid w:val="00D35728"/>
    <w:rsid w:val="00D36514"/>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1DFF"/>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39E"/>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B12"/>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138"/>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531"/>
    <w:rsid w:val="00E73CCD"/>
    <w:rsid w:val="00E76453"/>
    <w:rsid w:val="00E77353"/>
    <w:rsid w:val="00E775AE"/>
    <w:rsid w:val="00E8272C"/>
    <w:rsid w:val="00E827C7"/>
    <w:rsid w:val="00E85DBD"/>
    <w:rsid w:val="00E87A99"/>
    <w:rsid w:val="00E90702"/>
    <w:rsid w:val="00E9241E"/>
    <w:rsid w:val="00E93537"/>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144"/>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F58"/>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CCD"/>
    <w:rsid w:val="00FA7910"/>
    <w:rsid w:val="00FB16CD"/>
    <w:rsid w:val="00FB73AE"/>
    <w:rsid w:val="00FC5388"/>
    <w:rsid w:val="00FC726C"/>
    <w:rsid w:val="00FD1916"/>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E74A8-7859-44D9-B27D-962414A8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838A3"/>
    <w:rPr>
      <w:sz w:val="16"/>
      <w:szCs w:val="16"/>
    </w:rPr>
  </w:style>
  <w:style w:type="paragraph" w:styleId="CommentText">
    <w:name w:val="annotation text"/>
    <w:basedOn w:val="Normal"/>
    <w:link w:val="CommentTextChar"/>
    <w:semiHidden/>
    <w:unhideWhenUsed/>
    <w:rsid w:val="002838A3"/>
    <w:rPr>
      <w:sz w:val="20"/>
      <w:szCs w:val="20"/>
    </w:rPr>
  </w:style>
  <w:style w:type="character" w:customStyle="1" w:styleId="CommentTextChar">
    <w:name w:val="Comment Text Char"/>
    <w:basedOn w:val="DefaultParagraphFont"/>
    <w:link w:val="CommentText"/>
    <w:semiHidden/>
    <w:rsid w:val="002838A3"/>
  </w:style>
  <w:style w:type="paragraph" w:styleId="CommentSubject">
    <w:name w:val="annotation subject"/>
    <w:basedOn w:val="CommentText"/>
    <w:next w:val="CommentText"/>
    <w:link w:val="CommentSubjectChar"/>
    <w:semiHidden/>
    <w:unhideWhenUsed/>
    <w:rsid w:val="002838A3"/>
    <w:rPr>
      <w:b/>
      <w:bCs/>
    </w:rPr>
  </w:style>
  <w:style w:type="character" w:customStyle="1" w:styleId="CommentSubjectChar">
    <w:name w:val="Comment Subject Char"/>
    <w:basedOn w:val="CommentTextChar"/>
    <w:link w:val="CommentSubject"/>
    <w:semiHidden/>
    <w:rsid w:val="00283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2328</Words>
  <Characters>12743</Characters>
  <Application>Microsoft Office Word</Application>
  <DocSecurity>4</DocSecurity>
  <Lines>244</Lines>
  <Paragraphs>71</Paragraphs>
  <ScaleCrop>false</ScaleCrop>
  <HeadingPairs>
    <vt:vector size="2" baseType="variant">
      <vt:variant>
        <vt:lpstr>Title</vt:lpstr>
      </vt:variant>
      <vt:variant>
        <vt:i4>1</vt:i4>
      </vt:variant>
    </vt:vector>
  </HeadingPairs>
  <TitlesOfParts>
    <vt:vector size="1" baseType="lpstr">
      <vt:lpstr>BA - SB00968 (Committee Report (Unamended))</vt:lpstr>
    </vt:vector>
  </TitlesOfParts>
  <Company>State of Texas</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28359</dc:subject>
  <dc:creator>State of Texas</dc:creator>
  <dc:description>SB 968 by Kolkhorst-(H)State Affairs</dc:description>
  <cp:lastModifiedBy>Damian Duarte</cp:lastModifiedBy>
  <cp:revision>2</cp:revision>
  <cp:lastPrinted>2003-11-26T17:21:00Z</cp:lastPrinted>
  <dcterms:created xsi:type="dcterms:W3CDTF">2021-05-20T19:17:00Z</dcterms:created>
  <dcterms:modified xsi:type="dcterms:W3CDTF">2021-05-20T19:17:00Z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21.140.977</vt:lpwstr>
  </property>
</Properties>
</file>