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D26B7" w14:paraId="0C259D56" w14:textId="77777777" w:rsidTr="00345119">
        <w:tc>
          <w:tcPr>
            <w:tcW w:w="9576" w:type="dxa"/>
            <w:noWrap/>
          </w:tcPr>
          <w:p w14:paraId="7A6191DC" w14:textId="77777777" w:rsidR="008423E4" w:rsidRPr="0022177D" w:rsidRDefault="00F424FF" w:rsidP="00F6515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A119BD3" w14:textId="77777777" w:rsidR="008423E4" w:rsidRPr="0022177D" w:rsidRDefault="008423E4" w:rsidP="00F65156">
      <w:pPr>
        <w:jc w:val="center"/>
      </w:pPr>
    </w:p>
    <w:p w14:paraId="3093AE3E" w14:textId="77777777" w:rsidR="008423E4" w:rsidRPr="00B31F0E" w:rsidRDefault="008423E4" w:rsidP="00F65156"/>
    <w:p w14:paraId="2C904A08" w14:textId="77777777" w:rsidR="008423E4" w:rsidRPr="00742794" w:rsidRDefault="008423E4" w:rsidP="00F6515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26B7" w14:paraId="3A4EFCBB" w14:textId="77777777" w:rsidTr="00345119">
        <w:tc>
          <w:tcPr>
            <w:tcW w:w="9576" w:type="dxa"/>
          </w:tcPr>
          <w:p w14:paraId="3674CFA7" w14:textId="77777777" w:rsidR="008423E4" w:rsidRPr="00861995" w:rsidRDefault="00F424FF" w:rsidP="00F65156">
            <w:pPr>
              <w:jc w:val="right"/>
            </w:pPr>
            <w:r>
              <w:t>C.S.S.B. 1065</w:t>
            </w:r>
          </w:p>
        </w:tc>
      </w:tr>
      <w:tr w:rsidR="001D26B7" w14:paraId="23B2192F" w14:textId="77777777" w:rsidTr="00345119">
        <w:tc>
          <w:tcPr>
            <w:tcW w:w="9576" w:type="dxa"/>
          </w:tcPr>
          <w:p w14:paraId="03425B38" w14:textId="77777777" w:rsidR="008423E4" w:rsidRPr="00861995" w:rsidRDefault="00F424FF" w:rsidP="00F65156">
            <w:pPr>
              <w:jc w:val="right"/>
            </w:pPr>
            <w:r>
              <w:t xml:space="preserve">By: </w:t>
            </w:r>
            <w:r w:rsidR="008A5CFF">
              <w:t>Alvarado</w:t>
            </w:r>
          </w:p>
        </w:tc>
      </w:tr>
      <w:tr w:rsidR="001D26B7" w14:paraId="0DFCE0AA" w14:textId="77777777" w:rsidTr="00345119">
        <w:tc>
          <w:tcPr>
            <w:tcW w:w="9576" w:type="dxa"/>
          </w:tcPr>
          <w:p w14:paraId="027CEF81" w14:textId="77777777" w:rsidR="008423E4" w:rsidRPr="00861995" w:rsidRDefault="00F424FF" w:rsidP="00F65156">
            <w:pPr>
              <w:jc w:val="right"/>
            </w:pPr>
            <w:r>
              <w:t>Insurance</w:t>
            </w:r>
          </w:p>
        </w:tc>
      </w:tr>
      <w:tr w:rsidR="001D26B7" w14:paraId="6DBC746C" w14:textId="77777777" w:rsidTr="00345119">
        <w:tc>
          <w:tcPr>
            <w:tcW w:w="9576" w:type="dxa"/>
          </w:tcPr>
          <w:p w14:paraId="39438119" w14:textId="77777777" w:rsidR="008423E4" w:rsidRDefault="00F424FF" w:rsidP="00F65156">
            <w:pPr>
              <w:jc w:val="right"/>
            </w:pPr>
            <w:r>
              <w:t>Committee Report (Substituted)</w:t>
            </w:r>
          </w:p>
        </w:tc>
      </w:tr>
    </w:tbl>
    <w:p w14:paraId="71CB32FD" w14:textId="77777777" w:rsidR="008423E4" w:rsidRDefault="008423E4" w:rsidP="00F65156">
      <w:pPr>
        <w:tabs>
          <w:tab w:val="right" w:pos="9360"/>
        </w:tabs>
      </w:pPr>
    </w:p>
    <w:p w14:paraId="1B701983" w14:textId="77777777" w:rsidR="008423E4" w:rsidRDefault="008423E4" w:rsidP="00F65156"/>
    <w:p w14:paraId="368F64F9" w14:textId="77777777" w:rsidR="008423E4" w:rsidRDefault="008423E4" w:rsidP="00F6515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D26B7" w14:paraId="5F69DD1A" w14:textId="77777777" w:rsidTr="00345119">
        <w:tc>
          <w:tcPr>
            <w:tcW w:w="9576" w:type="dxa"/>
          </w:tcPr>
          <w:p w14:paraId="362168A5" w14:textId="77777777" w:rsidR="008423E4" w:rsidRPr="00A8133F" w:rsidRDefault="00F424FF" w:rsidP="00F651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AB840A8" w14:textId="77777777" w:rsidR="008423E4" w:rsidRDefault="008423E4" w:rsidP="00F65156"/>
          <w:p w14:paraId="49954825" w14:textId="2A3BB84E" w:rsidR="008423E4" w:rsidRDefault="00F424FF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Women with dense breast tissue, a strong family history of breast cancer, or a prior history of breast cancer often require </w:t>
            </w:r>
            <w:r w:rsidR="0030218A">
              <w:t xml:space="preserve">detailed </w:t>
            </w:r>
            <w:r>
              <w:t xml:space="preserve">diagnostic </w:t>
            </w:r>
            <w:r w:rsidR="0030218A">
              <w:t xml:space="preserve">imaging </w:t>
            </w:r>
            <w:r>
              <w:t xml:space="preserve">to determine the presence of a cancerous tumor. Insurance coverage for diagnostic imaging </w:t>
            </w:r>
            <w:r w:rsidR="007170D8">
              <w:t>examinations</w:t>
            </w:r>
            <w:r>
              <w:t xml:space="preserve"> such as ultrasound and magnetic resonance imaging helps </w:t>
            </w:r>
            <w:r w:rsidR="007170D8">
              <w:t xml:space="preserve">to </w:t>
            </w:r>
            <w:r w:rsidR="0030218A">
              <w:t>increase</w:t>
            </w:r>
            <w:r>
              <w:t xml:space="preserve"> </w:t>
            </w:r>
            <w:r w:rsidR="007170D8">
              <w:t xml:space="preserve">the </w:t>
            </w:r>
            <w:r>
              <w:t>early detection of breast cancer</w:t>
            </w:r>
            <w:r w:rsidR="007170D8">
              <w:t xml:space="preserve"> and its </w:t>
            </w:r>
            <w:r w:rsidR="007170D8" w:rsidRPr="007170D8">
              <w:t>successful treatment</w:t>
            </w:r>
            <w:r>
              <w:t>.</w:t>
            </w:r>
            <w:r w:rsidR="007170D8">
              <w:t xml:space="preserve"> C.S.</w:t>
            </w:r>
            <w:r>
              <w:t xml:space="preserve">S.B. 1065 seeks to </w:t>
            </w:r>
            <w:r w:rsidR="0030218A">
              <w:t xml:space="preserve">facilitate </w:t>
            </w:r>
            <w:r>
              <w:t xml:space="preserve">the use of these examinations by requiring certain health benefit plans to provide </w:t>
            </w:r>
            <w:r w:rsidR="007170D8">
              <w:t xml:space="preserve">certain </w:t>
            </w:r>
            <w:r w:rsidR="007170D8" w:rsidRPr="007170D8">
              <w:t>coverage for diagnostic imaging</w:t>
            </w:r>
            <w:r w:rsidR="007170D8">
              <w:t>.</w:t>
            </w:r>
            <w:r w:rsidR="007170D8" w:rsidRPr="007170D8">
              <w:t xml:space="preserve"> </w:t>
            </w:r>
          </w:p>
          <w:p w14:paraId="7EFD887B" w14:textId="77777777" w:rsidR="008423E4" w:rsidRPr="00E26B13" w:rsidRDefault="008423E4" w:rsidP="00F65156">
            <w:pPr>
              <w:rPr>
                <w:b/>
              </w:rPr>
            </w:pPr>
          </w:p>
        </w:tc>
      </w:tr>
      <w:tr w:rsidR="001D26B7" w14:paraId="0066CCEA" w14:textId="77777777" w:rsidTr="00345119">
        <w:tc>
          <w:tcPr>
            <w:tcW w:w="9576" w:type="dxa"/>
          </w:tcPr>
          <w:p w14:paraId="7B54298D" w14:textId="77777777" w:rsidR="0017725B" w:rsidRDefault="00F424FF" w:rsidP="00F651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CAF0C5" w14:textId="77777777" w:rsidR="0017725B" w:rsidRDefault="0017725B" w:rsidP="00F65156">
            <w:pPr>
              <w:rPr>
                <w:b/>
                <w:u w:val="single"/>
              </w:rPr>
            </w:pPr>
          </w:p>
          <w:p w14:paraId="12839ACC" w14:textId="77777777" w:rsidR="0055590B" w:rsidRPr="0055590B" w:rsidRDefault="00F424FF" w:rsidP="00F65156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14:paraId="5DD646CB" w14:textId="77777777" w:rsidR="0017725B" w:rsidRPr="0017725B" w:rsidRDefault="0017725B" w:rsidP="00F65156">
            <w:pPr>
              <w:rPr>
                <w:b/>
                <w:u w:val="single"/>
              </w:rPr>
            </w:pPr>
          </w:p>
        </w:tc>
      </w:tr>
      <w:tr w:rsidR="001D26B7" w14:paraId="08E0A6B8" w14:textId="77777777" w:rsidTr="00345119">
        <w:tc>
          <w:tcPr>
            <w:tcW w:w="9576" w:type="dxa"/>
          </w:tcPr>
          <w:p w14:paraId="02CFE775" w14:textId="77777777" w:rsidR="008423E4" w:rsidRPr="00A8133F" w:rsidRDefault="00F424FF" w:rsidP="00F651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EF1AB1" w14:textId="77777777" w:rsidR="008423E4" w:rsidRDefault="008423E4" w:rsidP="00F65156"/>
          <w:p w14:paraId="7BDFE070" w14:textId="77777777" w:rsidR="0055590B" w:rsidRDefault="00F424FF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14:paraId="56B2151C" w14:textId="77777777" w:rsidR="008423E4" w:rsidRPr="00E21FDC" w:rsidRDefault="008423E4" w:rsidP="00F65156">
            <w:pPr>
              <w:rPr>
                <w:b/>
              </w:rPr>
            </w:pPr>
          </w:p>
        </w:tc>
      </w:tr>
      <w:tr w:rsidR="001D26B7" w14:paraId="2DE660A4" w14:textId="77777777" w:rsidTr="00345119">
        <w:tc>
          <w:tcPr>
            <w:tcW w:w="9576" w:type="dxa"/>
          </w:tcPr>
          <w:p w14:paraId="2D68A8A0" w14:textId="77777777" w:rsidR="008423E4" w:rsidRPr="00A8133F" w:rsidRDefault="00F424FF" w:rsidP="00F651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19DC6A" w14:textId="77777777" w:rsidR="008423E4" w:rsidRDefault="008423E4" w:rsidP="00F65156"/>
          <w:p w14:paraId="630AC3DF" w14:textId="3F9A250A" w:rsidR="00881553" w:rsidRDefault="00F424FF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1065 amends the </w:t>
            </w:r>
            <w:r w:rsidRPr="008549CD">
              <w:t>Insurance Code</w:t>
            </w:r>
            <w:r w:rsidR="006420B8">
              <w:t xml:space="preserve"> to</w:t>
            </w:r>
            <w:r>
              <w:t xml:space="preserve"> </w:t>
            </w:r>
            <w:r w:rsidR="00084E41">
              <w:t>change</w:t>
            </w:r>
            <w:r>
              <w:t xml:space="preserve"> </w:t>
            </w:r>
            <w:r w:rsidR="00084E41">
              <w:t xml:space="preserve">the requirement that a </w:t>
            </w:r>
            <w:r w:rsidR="00084E41" w:rsidRPr="009B7420">
              <w:t xml:space="preserve">health benefit plan that </w:t>
            </w:r>
            <w:r w:rsidR="0030218A">
              <w:t>covers</w:t>
            </w:r>
            <w:r w:rsidR="00084E41" w:rsidRPr="009B7420">
              <w:t xml:space="preserve"> a screening mammogram</w:t>
            </w:r>
            <w:r w:rsidR="00084E41">
              <w:t xml:space="preserve"> must provide </w:t>
            </w:r>
            <w:r>
              <w:t xml:space="preserve">coverage </w:t>
            </w:r>
            <w:r w:rsidR="00084E41" w:rsidRPr="00881553">
              <w:t>that is no less favorable</w:t>
            </w:r>
            <w:r w:rsidR="00084E41">
              <w:t xml:space="preserve"> </w:t>
            </w:r>
            <w:r>
              <w:t xml:space="preserve">for a </w:t>
            </w:r>
            <w:r w:rsidR="00084631" w:rsidRPr="00084631">
              <w:t>diagnostic</w:t>
            </w:r>
            <w:r w:rsidRPr="00881553">
              <w:t xml:space="preserve"> mammogram</w:t>
            </w:r>
            <w:r>
              <w:t xml:space="preserve"> </w:t>
            </w:r>
            <w:r w:rsidR="00084E41">
              <w:t>by requiring such a plan instead to provide coverage that is no less favorable</w:t>
            </w:r>
            <w:r>
              <w:t xml:space="preserve"> for</w:t>
            </w:r>
            <w:r w:rsidRPr="00881553">
              <w:t xml:space="preserve"> diagnostic imaging</w:t>
            </w:r>
            <w:r>
              <w:t>. The bill defines "d</w:t>
            </w:r>
            <w:r w:rsidRPr="00881553">
              <w:t>iagnostic imaging</w:t>
            </w:r>
            <w:r>
              <w:t xml:space="preserve">" </w:t>
            </w:r>
            <w:r w:rsidR="00084E41">
              <w:t xml:space="preserve">to have </w:t>
            </w:r>
            <w:r>
              <w:t>the</w:t>
            </w:r>
            <w:r>
              <w:t xml:space="preserve"> same </w:t>
            </w:r>
            <w:r w:rsidR="00084E41">
              <w:t xml:space="preserve">meaning </w:t>
            </w:r>
            <w:r>
              <w:t>as "d</w:t>
            </w:r>
            <w:r w:rsidRPr="00881553">
              <w:t>iagnostic</w:t>
            </w:r>
            <w:r>
              <w:t xml:space="preserve"> </w:t>
            </w:r>
            <w:r w:rsidRPr="00881553">
              <w:t>mammogram</w:t>
            </w:r>
            <w:r>
              <w:t>" except as follows:</w:t>
            </w:r>
          </w:p>
          <w:p w14:paraId="6788FEF9" w14:textId="7C739C58" w:rsidR="00881553" w:rsidRDefault="00F424FF" w:rsidP="00F651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specifies that the </w:t>
            </w:r>
            <w:r w:rsidRPr="00BD07A9">
              <w:t>imaging examination</w:t>
            </w:r>
            <w:r>
              <w:t xml:space="preserve"> uses </w:t>
            </w:r>
            <w:r w:rsidRPr="00BD07A9">
              <w:t>mammography, ultrasound imaging, or magnetic resonance imaging</w:t>
            </w:r>
            <w:r>
              <w:t>; and</w:t>
            </w:r>
          </w:p>
          <w:p w14:paraId="705F13D3" w14:textId="0798F437" w:rsidR="00BD07A9" w:rsidRDefault="00F424FF" w:rsidP="00F651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specifies that the imaging is designed to evaluate the following additional </w:t>
            </w:r>
            <w:r w:rsidR="00B92A77">
              <w:t>cases</w:t>
            </w:r>
            <w:r>
              <w:t xml:space="preserve">: </w:t>
            </w:r>
          </w:p>
          <w:p w14:paraId="6A22584B" w14:textId="77777777" w:rsidR="00BD07A9" w:rsidRDefault="00F424FF" w:rsidP="00F6515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D07A9">
              <w:t>a</w:t>
            </w:r>
            <w:r w:rsidRPr="00BD07A9">
              <w:t xml:space="preserve"> subjective or objective abnormality detected by </w:t>
            </w:r>
            <w:r>
              <w:t>a</w:t>
            </w:r>
            <w:r w:rsidRPr="00BD07A9">
              <w:t xml:space="preserve"> patient in a breast</w:t>
            </w:r>
            <w:r>
              <w:t>; and</w:t>
            </w:r>
          </w:p>
          <w:p w14:paraId="7A41DB1E" w14:textId="7D168652" w:rsidR="00BD07A9" w:rsidRDefault="00F424FF" w:rsidP="00F6515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D07A9">
              <w:t>an individual with a personal history of dense breast tissue</w:t>
            </w:r>
            <w:r>
              <w:t xml:space="preserve">. </w:t>
            </w:r>
          </w:p>
          <w:p w14:paraId="642BE8C7" w14:textId="0D4E16E6" w:rsidR="00BD07A9" w:rsidRDefault="00BD07A9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29A3A1" w14:textId="156317C7" w:rsidR="009C36CD" w:rsidRDefault="00FB59CE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</w:t>
            </w:r>
            <w:r w:rsidR="007270A8">
              <w:t>.</w:t>
            </w:r>
            <w:r>
              <w:t xml:space="preserve"> 1065 </w:t>
            </w:r>
            <w:r w:rsidR="004C1536">
              <w:t xml:space="preserve">applies only to </w:t>
            </w:r>
            <w:r w:rsidR="004C1536" w:rsidRPr="004C1536">
              <w:t>a health benefit plan that is delivered, issued for delivery, or renewed on or after January 1, 2022.</w:t>
            </w:r>
            <w:r w:rsidR="004C1536">
              <w:t xml:space="preserve"> </w:t>
            </w:r>
          </w:p>
          <w:p w14:paraId="4E2C7F81" w14:textId="6B29855D" w:rsidR="00FB59CE" w:rsidRDefault="00FB59CE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EE2797" w14:textId="28B24918" w:rsidR="00FB59CE" w:rsidRPr="009C36CD" w:rsidRDefault="00F424FF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B59CE">
              <w:t xml:space="preserve">Implementation of a provision of this bill by </w:t>
            </w:r>
            <w:r>
              <w:t xml:space="preserve">a </w:t>
            </w:r>
            <w:r w:rsidRPr="00FB59CE">
              <w:t>state agency</w:t>
            </w:r>
            <w:r>
              <w:t xml:space="preserve"> or institution</w:t>
            </w:r>
            <w:r w:rsidR="00084631">
              <w:t xml:space="preserve"> subject to the bill</w:t>
            </w:r>
            <w:r w:rsidRPr="00FB59CE">
              <w:t xml:space="preserve"> is mandatory only if a specific appropriation is made for that purpose.</w:t>
            </w:r>
          </w:p>
          <w:p w14:paraId="02771828" w14:textId="77777777" w:rsidR="008423E4" w:rsidRPr="00835628" w:rsidRDefault="008423E4" w:rsidP="00F65156">
            <w:pPr>
              <w:rPr>
                <w:b/>
              </w:rPr>
            </w:pPr>
          </w:p>
        </w:tc>
      </w:tr>
      <w:tr w:rsidR="001D26B7" w14:paraId="29BD7DB1" w14:textId="77777777" w:rsidTr="00345119">
        <w:tc>
          <w:tcPr>
            <w:tcW w:w="9576" w:type="dxa"/>
          </w:tcPr>
          <w:p w14:paraId="7A165090" w14:textId="77777777" w:rsidR="008423E4" w:rsidRPr="00A8133F" w:rsidRDefault="00F424FF" w:rsidP="00F651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1DA51D" w14:textId="77777777" w:rsidR="008423E4" w:rsidRDefault="008423E4" w:rsidP="00F65156"/>
          <w:p w14:paraId="1D542CAB" w14:textId="1593F6F3" w:rsidR="008423E4" w:rsidRPr="003624F2" w:rsidRDefault="00F424FF" w:rsidP="00F65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189990A" w14:textId="77777777" w:rsidR="008423E4" w:rsidRDefault="008423E4" w:rsidP="00F65156">
            <w:pPr>
              <w:rPr>
                <w:b/>
              </w:rPr>
            </w:pPr>
          </w:p>
          <w:p w14:paraId="62D758F1" w14:textId="77777777" w:rsidR="00F65156" w:rsidRDefault="00F65156" w:rsidP="00F65156">
            <w:pPr>
              <w:rPr>
                <w:b/>
              </w:rPr>
            </w:pPr>
          </w:p>
          <w:p w14:paraId="41425B83" w14:textId="795C3E84" w:rsidR="00F65156" w:rsidRPr="00F65156" w:rsidRDefault="00F65156" w:rsidP="00F65156">
            <w:pPr>
              <w:rPr>
                <w:b/>
              </w:rPr>
            </w:pPr>
          </w:p>
        </w:tc>
      </w:tr>
      <w:tr w:rsidR="001D26B7" w14:paraId="40CBA581" w14:textId="77777777" w:rsidTr="00345119">
        <w:tc>
          <w:tcPr>
            <w:tcW w:w="9576" w:type="dxa"/>
          </w:tcPr>
          <w:p w14:paraId="658BC59E" w14:textId="77777777" w:rsidR="008A5CFF" w:rsidRDefault="00F424FF" w:rsidP="00F651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</w:t>
            </w:r>
            <w:r>
              <w:rPr>
                <w:b/>
                <w:u w:val="single"/>
              </w:rPr>
              <w:t>ENGROSSED AND SUBSTITUTE</w:t>
            </w:r>
          </w:p>
          <w:p w14:paraId="3E2921D4" w14:textId="77777777" w:rsidR="00C326EE" w:rsidRDefault="00C326EE" w:rsidP="00F65156">
            <w:pPr>
              <w:jc w:val="both"/>
            </w:pPr>
          </w:p>
          <w:p w14:paraId="4B039D47" w14:textId="77777777" w:rsidR="00C326EE" w:rsidRDefault="00F424FF" w:rsidP="00F65156">
            <w:pPr>
              <w:jc w:val="both"/>
            </w:pPr>
            <w:r>
              <w:t>While C.S.S.B. 1065 may differ from the engrossed in minor or nonsubstantive ways, the following summarizes the substantial differences between the engrossed and committee substitute versions of the bill.</w:t>
            </w:r>
          </w:p>
          <w:p w14:paraId="245976BF" w14:textId="4BEE8BA1" w:rsidR="00C326EE" w:rsidRDefault="00C326EE" w:rsidP="00F65156">
            <w:pPr>
              <w:jc w:val="both"/>
            </w:pPr>
          </w:p>
          <w:p w14:paraId="4D6A4DDA" w14:textId="0425127F" w:rsidR="005533F5" w:rsidRDefault="00F424FF" w:rsidP="00F65156">
            <w:pPr>
              <w:jc w:val="both"/>
            </w:pPr>
            <w:r>
              <w:t xml:space="preserve">The substitute includes </w:t>
            </w:r>
            <w:r>
              <w:t>a</w:t>
            </w:r>
            <w:r w:rsidR="00B92A77">
              <w:t xml:space="preserve">n appropriations contingency </w:t>
            </w:r>
            <w:r>
              <w:t xml:space="preserve">provision </w:t>
            </w:r>
            <w:r w:rsidR="00B92A77">
              <w:t xml:space="preserve">that was </w:t>
            </w:r>
            <w:r>
              <w:t>not included in the engrossed</w:t>
            </w:r>
            <w:r w:rsidRPr="00FB59CE">
              <w:t>.</w:t>
            </w:r>
          </w:p>
          <w:p w14:paraId="61798F5C" w14:textId="77777777" w:rsidR="005533F5" w:rsidRDefault="005533F5" w:rsidP="00F65156">
            <w:pPr>
              <w:jc w:val="both"/>
            </w:pPr>
          </w:p>
          <w:p w14:paraId="172D52BC" w14:textId="77777777" w:rsidR="00C326EE" w:rsidRPr="00C326EE" w:rsidRDefault="00C326EE" w:rsidP="00F65156">
            <w:pPr>
              <w:jc w:val="both"/>
            </w:pPr>
          </w:p>
        </w:tc>
      </w:tr>
      <w:tr w:rsidR="001D26B7" w14:paraId="0D207392" w14:textId="77777777" w:rsidTr="00345119">
        <w:tc>
          <w:tcPr>
            <w:tcW w:w="9576" w:type="dxa"/>
          </w:tcPr>
          <w:p w14:paraId="5F9909F9" w14:textId="77777777" w:rsidR="008A5CFF" w:rsidRPr="009C1E9A" w:rsidRDefault="008A5CFF" w:rsidP="00F65156">
            <w:pPr>
              <w:rPr>
                <w:b/>
                <w:u w:val="single"/>
              </w:rPr>
            </w:pPr>
          </w:p>
        </w:tc>
      </w:tr>
      <w:tr w:rsidR="001D26B7" w14:paraId="29D89F51" w14:textId="77777777" w:rsidTr="00345119">
        <w:tc>
          <w:tcPr>
            <w:tcW w:w="9576" w:type="dxa"/>
          </w:tcPr>
          <w:p w14:paraId="30FE60E9" w14:textId="77777777" w:rsidR="008A5CFF" w:rsidRPr="008A5CFF" w:rsidRDefault="008A5CFF" w:rsidP="00F65156">
            <w:pPr>
              <w:jc w:val="both"/>
            </w:pPr>
          </w:p>
        </w:tc>
      </w:tr>
    </w:tbl>
    <w:p w14:paraId="7664A3A4" w14:textId="77777777" w:rsidR="008423E4" w:rsidRPr="00BE0E75" w:rsidRDefault="008423E4" w:rsidP="00F65156">
      <w:pPr>
        <w:jc w:val="both"/>
        <w:rPr>
          <w:rFonts w:ascii="Arial" w:hAnsi="Arial"/>
          <w:sz w:val="16"/>
          <w:szCs w:val="16"/>
        </w:rPr>
      </w:pPr>
    </w:p>
    <w:p w14:paraId="0DE6B3C8" w14:textId="77777777" w:rsidR="004108C3" w:rsidRPr="008423E4" w:rsidRDefault="004108C3" w:rsidP="00F6515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DF19" w14:textId="77777777" w:rsidR="00000000" w:rsidRDefault="00F424FF">
      <w:r>
        <w:separator/>
      </w:r>
    </w:p>
  </w:endnote>
  <w:endnote w:type="continuationSeparator" w:id="0">
    <w:p w14:paraId="04E5A2C1" w14:textId="77777777" w:rsidR="00000000" w:rsidRDefault="00F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CA2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26B7" w14:paraId="17E6EF9F" w14:textId="77777777" w:rsidTr="009C1E9A">
      <w:trPr>
        <w:cantSplit/>
      </w:trPr>
      <w:tc>
        <w:tcPr>
          <w:tcW w:w="0" w:type="pct"/>
        </w:tcPr>
        <w:p w14:paraId="2822C5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053A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9F98F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BBA0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01BE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6B7" w14:paraId="02280E37" w14:textId="77777777" w:rsidTr="009C1E9A">
      <w:trPr>
        <w:cantSplit/>
      </w:trPr>
      <w:tc>
        <w:tcPr>
          <w:tcW w:w="0" w:type="pct"/>
        </w:tcPr>
        <w:p w14:paraId="11836A2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8B236A" w14:textId="77777777" w:rsidR="00EC379B" w:rsidRPr="009C1E9A" w:rsidRDefault="00F424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26947</w:t>
          </w:r>
        </w:p>
      </w:tc>
      <w:tc>
        <w:tcPr>
          <w:tcW w:w="2453" w:type="pct"/>
        </w:tcPr>
        <w:p w14:paraId="69DA98E2" w14:textId="5E5ED526" w:rsidR="00EC379B" w:rsidRDefault="00F424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B47B3">
            <w:t>21.134.1247</w:t>
          </w:r>
          <w:r>
            <w:fldChar w:fldCharType="end"/>
          </w:r>
        </w:p>
      </w:tc>
    </w:tr>
    <w:tr w:rsidR="001D26B7" w14:paraId="772AA5C0" w14:textId="77777777" w:rsidTr="009C1E9A">
      <w:trPr>
        <w:cantSplit/>
      </w:trPr>
      <w:tc>
        <w:tcPr>
          <w:tcW w:w="0" w:type="pct"/>
        </w:tcPr>
        <w:p w14:paraId="55B60DF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42F9ED" w14:textId="77777777" w:rsidR="00EC379B" w:rsidRPr="009C1E9A" w:rsidRDefault="00F424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24737</w:t>
          </w:r>
        </w:p>
      </w:tc>
      <w:tc>
        <w:tcPr>
          <w:tcW w:w="2453" w:type="pct"/>
        </w:tcPr>
        <w:p w14:paraId="587ADC3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5F82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6B7" w14:paraId="48EB2F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25B382" w14:textId="6D5C5561" w:rsidR="00EC379B" w:rsidRDefault="00F424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6515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36446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846EE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F55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91A9" w14:textId="77777777" w:rsidR="00000000" w:rsidRDefault="00F424FF">
      <w:r>
        <w:separator/>
      </w:r>
    </w:p>
  </w:footnote>
  <w:footnote w:type="continuationSeparator" w:id="0">
    <w:p w14:paraId="2765E478" w14:textId="77777777" w:rsidR="00000000" w:rsidRDefault="00F4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3CFE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68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569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5E8"/>
    <w:multiLevelType w:val="hybridMultilevel"/>
    <w:tmpl w:val="D1F40DFE"/>
    <w:lvl w:ilvl="0" w:tplc="1DFC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F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E2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A9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20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40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A6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2B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09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FF"/>
    <w:rsid w:val="00000A70"/>
    <w:rsid w:val="000032B8"/>
    <w:rsid w:val="00003B06"/>
    <w:rsid w:val="000054B9"/>
    <w:rsid w:val="00007461"/>
    <w:rsid w:val="000077B4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631"/>
    <w:rsid w:val="00084E41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AE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7B3"/>
    <w:rsid w:val="001B75B8"/>
    <w:rsid w:val="001C1230"/>
    <w:rsid w:val="001C60B5"/>
    <w:rsid w:val="001C61B0"/>
    <w:rsid w:val="001C7957"/>
    <w:rsid w:val="001C7DB8"/>
    <w:rsid w:val="001C7EA8"/>
    <w:rsid w:val="001D1711"/>
    <w:rsid w:val="001D26B7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18A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13F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536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3F5"/>
    <w:rsid w:val="00555034"/>
    <w:rsid w:val="0055590B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7C1"/>
    <w:rsid w:val="005D4DAE"/>
    <w:rsid w:val="005D767D"/>
    <w:rsid w:val="005D7A30"/>
    <w:rsid w:val="005D7D3B"/>
    <w:rsid w:val="005E1999"/>
    <w:rsid w:val="005E232C"/>
    <w:rsid w:val="005E2694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0B8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D27"/>
    <w:rsid w:val="006E0CAC"/>
    <w:rsid w:val="006E1CFB"/>
    <w:rsid w:val="006E1F94"/>
    <w:rsid w:val="006E26C1"/>
    <w:rsid w:val="006E30A8"/>
    <w:rsid w:val="006E32AB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BB1"/>
    <w:rsid w:val="007170D8"/>
    <w:rsid w:val="00717739"/>
    <w:rsid w:val="00717DE4"/>
    <w:rsid w:val="00721724"/>
    <w:rsid w:val="00722EC5"/>
    <w:rsid w:val="00723326"/>
    <w:rsid w:val="00724252"/>
    <w:rsid w:val="007270A8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CA8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9C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553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CF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819"/>
    <w:rsid w:val="008F5E16"/>
    <w:rsid w:val="008F5EFC"/>
    <w:rsid w:val="00901670"/>
    <w:rsid w:val="00902212"/>
    <w:rsid w:val="00903E0A"/>
    <w:rsid w:val="00904721"/>
    <w:rsid w:val="00907780"/>
    <w:rsid w:val="00907EDD"/>
    <w:rsid w:val="00910764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420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E54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96A"/>
    <w:rsid w:val="00B90097"/>
    <w:rsid w:val="00B90999"/>
    <w:rsid w:val="00B91AD7"/>
    <w:rsid w:val="00B92A77"/>
    <w:rsid w:val="00B92D23"/>
    <w:rsid w:val="00B95BC8"/>
    <w:rsid w:val="00B96E87"/>
    <w:rsid w:val="00B9791F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7A9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6EE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8D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A43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4FF"/>
    <w:rsid w:val="00F44349"/>
    <w:rsid w:val="00F4569E"/>
    <w:rsid w:val="00F45AFC"/>
    <w:rsid w:val="00F462F4"/>
    <w:rsid w:val="00F50130"/>
    <w:rsid w:val="00F52402"/>
    <w:rsid w:val="00F5605D"/>
    <w:rsid w:val="00F5705F"/>
    <w:rsid w:val="00F6514B"/>
    <w:rsid w:val="00F65156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5AF"/>
    <w:rsid w:val="00FA32FC"/>
    <w:rsid w:val="00FA59FD"/>
    <w:rsid w:val="00FA5D8C"/>
    <w:rsid w:val="00FA6403"/>
    <w:rsid w:val="00FB16CD"/>
    <w:rsid w:val="00FB59CE"/>
    <w:rsid w:val="00FB73AE"/>
    <w:rsid w:val="00FC5388"/>
    <w:rsid w:val="00FC726C"/>
    <w:rsid w:val="00FD1B4B"/>
    <w:rsid w:val="00FD1B94"/>
    <w:rsid w:val="00FD5D24"/>
    <w:rsid w:val="00FD65D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A0A8D7-D938-4E47-AB39-62DBB4E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7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74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7420"/>
    <w:rPr>
      <w:b/>
      <w:bCs/>
    </w:rPr>
  </w:style>
  <w:style w:type="paragraph" w:styleId="Revision">
    <w:name w:val="Revision"/>
    <w:hidden/>
    <w:uiPriority w:val="99"/>
    <w:semiHidden/>
    <w:rsid w:val="007A0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2196</Characters>
  <Application>Microsoft Office Word</Application>
  <DocSecurity>4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SB01065 (Committee Report (Substituted))</vt:lpstr>
    </vt:vector>
  </TitlesOfParts>
  <Company>State of Texas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26947</dc:subject>
  <dc:creator>State of Texas</dc:creator>
  <dc:description>SB 1065 by Alvarado-(H)Insurance (Substitute Document Number: 87R 24737)</dc:description>
  <cp:lastModifiedBy>Damian Duarte</cp:lastModifiedBy>
  <cp:revision>2</cp:revision>
  <cp:lastPrinted>2003-11-26T17:21:00Z</cp:lastPrinted>
  <dcterms:created xsi:type="dcterms:W3CDTF">2021-05-17T21:14:00Z</dcterms:created>
  <dcterms:modified xsi:type="dcterms:W3CDTF">2021-05-17T21:14:00Z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21.134.1247</vt:lpwstr>
  </property>
</Properties>
</file>