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F152D" w14:paraId="4E68FC4C" w14:textId="77777777" w:rsidTr="00345119">
        <w:tc>
          <w:tcPr>
            <w:tcW w:w="9576" w:type="dxa"/>
            <w:noWrap/>
          </w:tcPr>
          <w:p w14:paraId="3A32EADD" w14:textId="77777777" w:rsidR="008423E4" w:rsidRPr="0022177D" w:rsidRDefault="00517224" w:rsidP="00860BF5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CA3CB8C" w14:textId="77777777" w:rsidR="008423E4" w:rsidRPr="0022177D" w:rsidRDefault="008423E4" w:rsidP="00860BF5">
      <w:pPr>
        <w:jc w:val="center"/>
      </w:pPr>
    </w:p>
    <w:p w14:paraId="22C48ED5" w14:textId="77777777" w:rsidR="008423E4" w:rsidRPr="00B31F0E" w:rsidRDefault="008423E4" w:rsidP="00860BF5"/>
    <w:p w14:paraId="69A8341A" w14:textId="77777777" w:rsidR="008423E4" w:rsidRPr="00742794" w:rsidRDefault="008423E4" w:rsidP="00860BF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152D" w14:paraId="619098EA" w14:textId="77777777" w:rsidTr="00345119">
        <w:tc>
          <w:tcPr>
            <w:tcW w:w="9576" w:type="dxa"/>
          </w:tcPr>
          <w:p w14:paraId="74E3C885" w14:textId="1FC530C0" w:rsidR="008423E4" w:rsidRPr="00861995" w:rsidRDefault="00517224" w:rsidP="00860BF5">
            <w:pPr>
              <w:jc w:val="right"/>
            </w:pPr>
            <w:r>
              <w:t>S.B. 1126</w:t>
            </w:r>
          </w:p>
        </w:tc>
      </w:tr>
      <w:tr w:rsidR="002F152D" w14:paraId="5E8608AC" w14:textId="77777777" w:rsidTr="00345119">
        <w:tc>
          <w:tcPr>
            <w:tcW w:w="9576" w:type="dxa"/>
          </w:tcPr>
          <w:p w14:paraId="034739EE" w14:textId="0C2BA58A" w:rsidR="008423E4" w:rsidRPr="00861995" w:rsidRDefault="00517224" w:rsidP="00860BF5">
            <w:pPr>
              <w:jc w:val="right"/>
            </w:pPr>
            <w:r>
              <w:t xml:space="preserve">By: </w:t>
            </w:r>
            <w:r w:rsidR="0035775F">
              <w:t>Springer</w:t>
            </w:r>
          </w:p>
        </w:tc>
      </w:tr>
      <w:tr w:rsidR="002F152D" w14:paraId="5676074B" w14:textId="77777777" w:rsidTr="00345119">
        <w:tc>
          <w:tcPr>
            <w:tcW w:w="9576" w:type="dxa"/>
          </w:tcPr>
          <w:p w14:paraId="57078494" w14:textId="27556887" w:rsidR="008423E4" w:rsidRPr="00861995" w:rsidRDefault="00517224" w:rsidP="00860BF5">
            <w:pPr>
              <w:jc w:val="right"/>
            </w:pPr>
            <w:r>
              <w:t>Higher Education</w:t>
            </w:r>
          </w:p>
        </w:tc>
      </w:tr>
      <w:tr w:rsidR="002F152D" w14:paraId="45C60F84" w14:textId="77777777" w:rsidTr="00345119">
        <w:tc>
          <w:tcPr>
            <w:tcW w:w="9576" w:type="dxa"/>
          </w:tcPr>
          <w:p w14:paraId="0902A6CF" w14:textId="43B6D74F" w:rsidR="008423E4" w:rsidRDefault="00517224" w:rsidP="00860BF5">
            <w:pPr>
              <w:jc w:val="right"/>
            </w:pPr>
            <w:r>
              <w:t>Committee Report (Unamended)</w:t>
            </w:r>
          </w:p>
        </w:tc>
      </w:tr>
    </w:tbl>
    <w:p w14:paraId="5A4E1D42" w14:textId="77777777" w:rsidR="008423E4" w:rsidRDefault="008423E4" w:rsidP="00860BF5">
      <w:pPr>
        <w:tabs>
          <w:tab w:val="right" w:pos="9360"/>
        </w:tabs>
      </w:pPr>
    </w:p>
    <w:p w14:paraId="01C552CF" w14:textId="77777777" w:rsidR="008423E4" w:rsidRDefault="008423E4" w:rsidP="00860BF5"/>
    <w:p w14:paraId="0A067CE9" w14:textId="77777777" w:rsidR="008423E4" w:rsidRDefault="008423E4" w:rsidP="00860BF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F152D" w14:paraId="5FEE17F5" w14:textId="77777777" w:rsidTr="00345119">
        <w:tc>
          <w:tcPr>
            <w:tcW w:w="9576" w:type="dxa"/>
          </w:tcPr>
          <w:p w14:paraId="35F2A27B" w14:textId="77777777" w:rsidR="008423E4" w:rsidRPr="00A8133F" w:rsidRDefault="00517224" w:rsidP="00860BF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501D1F" w14:textId="77777777" w:rsidR="008423E4" w:rsidRDefault="008423E4" w:rsidP="00860BF5"/>
          <w:p w14:paraId="18536C12" w14:textId="0FAF459F" w:rsidR="00D43263" w:rsidRDefault="00517224" w:rsidP="00860BF5">
            <w:pPr>
              <w:pStyle w:val="Header"/>
              <w:jc w:val="both"/>
            </w:pPr>
            <w:r>
              <w:t>Founded in 1901, Texas Woman's University</w:t>
            </w:r>
            <w:r w:rsidR="00FF4F6A">
              <w:t xml:space="preserve"> (TWU)</w:t>
            </w:r>
            <w:r>
              <w:t xml:space="preserve"> is the largest public university in the nation primarily for women and currently has two health science</w:t>
            </w:r>
            <w:r w:rsidR="007443AB">
              <w:t>s</w:t>
            </w:r>
            <w:r>
              <w:t xml:space="preserve"> centers in Dallas and Houston in addition to its main campus in Denton. </w:t>
            </w:r>
            <w:r w:rsidR="000238B8">
              <w:t xml:space="preserve">Amid the state's workforce shortage in </w:t>
            </w:r>
            <w:r>
              <w:t>nursing and</w:t>
            </w:r>
            <w:r w:rsidR="000238B8">
              <w:t xml:space="preserve"> allied health fields, </w:t>
            </w:r>
            <w:r w:rsidR="00FF4F6A">
              <w:t>TWU</w:t>
            </w:r>
            <w:r w:rsidR="000238B8">
              <w:t xml:space="preserve"> programs have provided the state with a large number of health-related doctoral degrees. </w:t>
            </w:r>
            <w:r w:rsidR="002F2A3F">
              <w:t xml:space="preserve">There have been calls to </w:t>
            </w:r>
            <w:r w:rsidR="00B6016F">
              <w:t xml:space="preserve">establish </w:t>
            </w:r>
            <w:r w:rsidR="00FF4F6A">
              <w:t>TWU</w:t>
            </w:r>
            <w:r w:rsidR="00B6016F">
              <w:t xml:space="preserve"> as a </w:t>
            </w:r>
            <w:r w:rsidR="002F2A3F">
              <w:t>u</w:t>
            </w:r>
            <w:r w:rsidR="00B6016F">
              <w:t xml:space="preserve">niversity </w:t>
            </w:r>
            <w:r w:rsidR="002F2A3F">
              <w:t>s</w:t>
            </w:r>
            <w:r w:rsidR="00B6016F">
              <w:t xml:space="preserve">ystem and provide the framework for </w:t>
            </w:r>
            <w:r w:rsidR="00023CEA">
              <w:t>campuses in</w:t>
            </w:r>
            <w:r w:rsidR="00B6016F">
              <w:t xml:space="preserve"> Dallas and Houston to becom</w:t>
            </w:r>
            <w:r w:rsidR="00887ED6">
              <w:t>e</w:t>
            </w:r>
            <w:r w:rsidR="00B6016F">
              <w:t xml:space="preserve"> degree</w:t>
            </w:r>
            <w:r w:rsidR="00E454BD">
              <w:t>-</w:t>
            </w:r>
            <w:r w:rsidR="00B6016F">
              <w:t>granting institutions</w:t>
            </w:r>
            <w:r w:rsidR="00FF4F6A">
              <w:t>.</w:t>
            </w:r>
            <w:r w:rsidR="000238B8">
              <w:t xml:space="preserve"> </w:t>
            </w:r>
            <w:r w:rsidR="00FF4F6A">
              <w:t xml:space="preserve">That </w:t>
            </w:r>
            <w:r w:rsidR="0060676D">
              <w:t xml:space="preserve">framework </w:t>
            </w:r>
            <w:r w:rsidR="00FF4F6A">
              <w:t>will allow</w:t>
            </w:r>
            <w:r w:rsidR="00887ED6">
              <w:t xml:space="preserve"> </w:t>
            </w:r>
            <w:r w:rsidR="00B6016F">
              <w:t xml:space="preserve">independent </w:t>
            </w:r>
            <w:r w:rsidR="00FF4F6A">
              <w:t xml:space="preserve">campus </w:t>
            </w:r>
            <w:r w:rsidR="00B6016F">
              <w:t xml:space="preserve">leadership </w:t>
            </w:r>
            <w:r w:rsidR="00FF4F6A">
              <w:t>to focus</w:t>
            </w:r>
            <w:r w:rsidR="00B6016F">
              <w:t xml:space="preserve"> on expanding enrollment and increasing the number of graduates</w:t>
            </w:r>
            <w:r w:rsidR="00FF4F6A">
              <w:t xml:space="preserve"> through closer alignment with the workforce needs of the Dallas and Houston communities</w:t>
            </w:r>
            <w:r w:rsidR="00B6016F">
              <w:t xml:space="preserve">. </w:t>
            </w:r>
            <w:r w:rsidR="00257C92">
              <w:t>S.B. 1126</w:t>
            </w:r>
            <w:r w:rsidR="002F2A3F">
              <w:t xml:space="preserve"> seeks to address these calls by establishing the Texas Woman's University System with component institutions </w:t>
            </w:r>
            <w:r w:rsidR="00B6016F">
              <w:t>in Dallas and Houston</w:t>
            </w:r>
            <w:r w:rsidR="002F2A3F">
              <w:t>.</w:t>
            </w:r>
            <w:r w:rsidR="00887ED6">
              <w:t xml:space="preserve"> </w:t>
            </w:r>
          </w:p>
          <w:p w14:paraId="049EECC6" w14:textId="77777777" w:rsidR="008423E4" w:rsidRPr="00E26B13" w:rsidRDefault="008423E4" w:rsidP="00860BF5">
            <w:pPr>
              <w:pStyle w:val="Header"/>
              <w:jc w:val="both"/>
              <w:rPr>
                <w:b/>
              </w:rPr>
            </w:pPr>
          </w:p>
        </w:tc>
      </w:tr>
      <w:tr w:rsidR="002F152D" w14:paraId="0F3BAE98" w14:textId="77777777" w:rsidTr="00345119">
        <w:tc>
          <w:tcPr>
            <w:tcW w:w="9576" w:type="dxa"/>
          </w:tcPr>
          <w:p w14:paraId="4C19FC67" w14:textId="77777777" w:rsidR="0017725B" w:rsidRDefault="00517224" w:rsidP="00860B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F4D290" w14:textId="77777777" w:rsidR="0017725B" w:rsidRDefault="0017725B" w:rsidP="00860BF5">
            <w:pPr>
              <w:rPr>
                <w:b/>
                <w:u w:val="single"/>
              </w:rPr>
            </w:pPr>
          </w:p>
          <w:p w14:paraId="1A3E9B4F" w14:textId="77777777" w:rsidR="00C21873" w:rsidRPr="00C21873" w:rsidRDefault="00517224" w:rsidP="00860BF5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14:paraId="6ED8D3A1" w14:textId="77777777" w:rsidR="0017725B" w:rsidRPr="0017725B" w:rsidRDefault="0017725B" w:rsidP="00860BF5">
            <w:pPr>
              <w:rPr>
                <w:b/>
                <w:u w:val="single"/>
              </w:rPr>
            </w:pPr>
          </w:p>
        </w:tc>
      </w:tr>
      <w:tr w:rsidR="002F152D" w14:paraId="286315FE" w14:textId="77777777" w:rsidTr="00345119">
        <w:tc>
          <w:tcPr>
            <w:tcW w:w="9576" w:type="dxa"/>
          </w:tcPr>
          <w:p w14:paraId="7FA5AE4B" w14:textId="77777777" w:rsidR="008423E4" w:rsidRPr="00A8133F" w:rsidRDefault="00517224" w:rsidP="00860BF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1C727A" w14:textId="77777777" w:rsidR="008423E4" w:rsidRDefault="008423E4" w:rsidP="00860BF5"/>
          <w:p w14:paraId="68607647" w14:textId="77777777" w:rsidR="00C21873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57A67854" w14:textId="77777777" w:rsidR="008423E4" w:rsidRPr="00E21FDC" w:rsidRDefault="008423E4" w:rsidP="00860BF5">
            <w:pPr>
              <w:rPr>
                <w:b/>
              </w:rPr>
            </w:pPr>
          </w:p>
        </w:tc>
      </w:tr>
      <w:tr w:rsidR="002F152D" w14:paraId="3A768D07" w14:textId="77777777" w:rsidTr="00345119">
        <w:tc>
          <w:tcPr>
            <w:tcW w:w="9576" w:type="dxa"/>
          </w:tcPr>
          <w:p w14:paraId="7C4F8531" w14:textId="77777777" w:rsidR="008423E4" w:rsidRPr="00A8133F" w:rsidRDefault="00517224" w:rsidP="00860BF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B5936D" w14:textId="77777777" w:rsidR="008423E4" w:rsidRDefault="008423E4" w:rsidP="00860BF5"/>
          <w:p w14:paraId="37F43F6D" w14:textId="63C53A81" w:rsidR="002300D8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1126</w:t>
            </w:r>
            <w:r w:rsidR="009E510F">
              <w:t xml:space="preserve"> amends the Education Code to establish the Texas Woman's University System</w:t>
            </w:r>
            <w:r w:rsidR="00C03349">
              <w:t xml:space="preserve"> as</w:t>
            </w:r>
            <w:r w:rsidR="009E510F">
              <w:t xml:space="preserve"> a woman-focused system composed of Texas Wom</w:t>
            </w:r>
            <w:r w:rsidR="00C03349">
              <w:t>a</w:t>
            </w:r>
            <w:r w:rsidR="009E510F">
              <w:t>n's University</w:t>
            </w:r>
            <w:r>
              <w:t xml:space="preserve"> and such other institutions as may be assigned by specific legislative act to the governance, control, jurisdiction, and management of the board of regents of the system</w:t>
            </w:r>
            <w:r w:rsidR="004C1B67">
              <w:t>.</w:t>
            </w:r>
            <w:r w:rsidR="009E510F">
              <w:t xml:space="preserve"> </w:t>
            </w:r>
            <w:r w:rsidR="004C1B67">
              <w:t xml:space="preserve">The bill requires the board of regents of the </w:t>
            </w:r>
            <w:r w:rsidR="005477BE">
              <w:t xml:space="preserve">university </w:t>
            </w:r>
            <w:r w:rsidR="004C1B67">
              <w:t>system to appoint a chief executive officer of the system to also serve as the president of Texas Woman's Universit</w:t>
            </w:r>
            <w:r w:rsidR="001C67F7">
              <w:t>y</w:t>
            </w:r>
            <w:r w:rsidR="001E60E7">
              <w:t xml:space="preserve">. </w:t>
            </w:r>
          </w:p>
          <w:p w14:paraId="424626B8" w14:textId="77777777" w:rsidR="002300D8" w:rsidRDefault="002300D8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F12836" w14:textId="1DBDF543" w:rsidR="002300D8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hd w:val="clear" w:color="auto" w:fill="FFFFFF"/>
              </w:rPr>
            </w:pPr>
            <w:r>
              <w:t xml:space="preserve">S.B. 1126 </w:t>
            </w:r>
            <w:r w:rsidR="00B7095B">
              <w:t>establishes that ea</w:t>
            </w:r>
            <w:r w:rsidR="00153174">
              <w:t>ch of the component institutions</w:t>
            </w:r>
            <w:r w:rsidR="00B7095B">
              <w:t xml:space="preserve"> is under the management and control of the system board</w:t>
            </w:r>
            <w:r w:rsidR="00E674B7">
              <w:t xml:space="preserve"> and </w:t>
            </w:r>
            <w:r w:rsidR="00290745">
              <w:t xml:space="preserve">conditions the </w:t>
            </w:r>
            <w:r w:rsidR="00BF7237">
              <w:t xml:space="preserve">operation </w:t>
            </w:r>
            <w:r w:rsidR="00290745">
              <w:t>of</w:t>
            </w:r>
            <w:r w:rsidR="00006DA1">
              <w:t xml:space="preserve"> </w:t>
            </w:r>
            <w:r w:rsidR="00006DA1" w:rsidRPr="00006DA1">
              <w:t xml:space="preserve">Texas Woman's University at Dallas and Texas Woman's University at Houston </w:t>
            </w:r>
            <w:r w:rsidR="00006DA1">
              <w:t>as general academic teaching institutions</w:t>
            </w:r>
            <w:r w:rsidR="00290745">
              <w:t xml:space="preserve"> on cert</w:t>
            </w:r>
            <w:r>
              <w:t>ification from the Texas Higher Education Coordinating Board</w:t>
            </w:r>
            <w:r w:rsidR="003E3A96">
              <w:t xml:space="preserve"> (THECB)</w:t>
            </w:r>
            <w:r>
              <w:t xml:space="preserve"> that the universities are </w:t>
            </w:r>
            <w:r w:rsidRPr="00A007EB">
              <w:rPr>
                <w:shd w:val="clear" w:color="auto" w:fill="FFFFFF"/>
              </w:rPr>
              <w:t>accredited by the Southern Associati</w:t>
            </w:r>
            <w:r w:rsidRPr="00A007EB">
              <w:rPr>
                <w:shd w:val="clear" w:color="auto" w:fill="FFFFFF"/>
              </w:rPr>
              <w:t>on of Colleges and Schools Commission on Colleges and ha</w:t>
            </w:r>
            <w:r w:rsidR="00022B38">
              <w:rPr>
                <w:shd w:val="clear" w:color="auto" w:fill="FFFFFF"/>
              </w:rPr>
              <w:t>ve</w:t>
            </w:r>
            <w:r w:rsidRPr="00A007EB">
              <w:rPr>
                <w:shd w:val="clear" w:color="auto" w:fill="FFFFFF"/>
              </w:rPr>
              <w:t xml:space="preserve"> been approved by the </w:t>
            </w:r>
            <w:r w:rsidR="003E3A96">
              <w:rPr>
                <w:shd w:val="clear" w:color="auto" w:fill="FFFFFF"/>
              </w:rPr>
              <w:t>THECB</w:t>
            </w:r>
            <w:r w:rsidRPr="00A007EB">
              <w:rPr>
                <w:shd w:val="clear" w:color="auto" w:fill="FFFFFF"/>
              </w:rPr>
              <w:t xml:space="preserve"> to offer one or more degree programs.</w:t>
            </w:r>
            <w:r>
              <w:rPr>
                <w:shd w:val="clear" w:color="auto" w:fill="FFFFFF"/>
              </w:rPr>
              <w:t xml:space="preserve"> </w:t>
            </w:r>
          </w:p>
          <w:p w14:paraId="162F1FCA" w14:textId="77777777" w:rsidR="002300D8" w:rsidRDefault="002300D8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hd w:val="clear" w:color="auto" w:fill="FFFFFF"/>
              </w:rPr>
            </w:pPr>
          </w:p>
          <w:p w14:paraId="7DE5825A" w14:textId="2F767720" w:rsidR="009C36CD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1126 </w:t>
            </w:r>
            <w:r w:rsidR="00AC4937">
              <w:t>provides for the transition of the Texas Woman's University to the Texas Woman's University System</w:t>
            </w:r>
            <w:r w:rsidR="006D48F7">
              <w:t xml:space="preserve">, including providing for the annual amount of funds allocated to the university system under the equitable allocation formula to be allocated </w:t>
            </w:r>
            <w:r w:rsidR="0074369D">
              <w:t xml:space="preserve">to its component institutions </w:t>
            </w:r>
            <w:r w:rsidR="006D48F7">
              <w:t>as determined by the system board</w:t>
            </w:r>
            <w:r w:rsidR="00AC4937">
              <w:t>.</w:t>
            </w:r>
          </w:p>
          <w:p w14:paraId="26F5CECF" w14:textId="50AA6B77" w:rsidR="00B7095B" w:rsidRDefault="00B7095B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8F6441" w14:textId="6EC4DBAB" w:rsidR="00633191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1126</w:t>
            </w:r>
            <w:r w:rsidR="00B7095B">
              <w:t xml:space="preserve"> </w:t>
            </w:r>
            <w:r>
              <w:t>provides for the following with regard to a municipality in</w:t>
            </w:r>
            <w:r>
              <w:t xml:space="preserve"> which a component institution of the system is located:</w:t>
            </w:r>
          </w:p>
          <w:p w14:paraId="516CD070" w14:textId="77777777" w:rsidR="0026491A" w:rsidRDefault="00517224" w:rsidP="00860B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concurrent jurisdiction of campus security personnel </w:t>
            </w:r>
            <w:r w:rsidR="00212ADE">
              <w:t>and</w:t>
            </w:r>
            <w:r>
              <w:t xml:space="preserve"> </w:t>
            </w:r>
            <w:r w:rsidR="00212ADE">
              <w:t xml:space="preserve">municipal </w:t>
            </w:r>
            <w:r>
              <w:t>pol</w:t>
            </w:r>
            <w:r w:rsidR="00212ADE">
              <w:t>ic</w:t>
            </w:r>
            <w:r w:rsidR="002A695F">
              <w:t>e</w:t>
            </w:r>
            <w:r w:rsidR="00212ADE">
              <w:t xml:space="preserve"> officers</w:t>
            </w:r>
            <w:r>
              <w:t>;</w:t>
            </w:r>
          </w:p>
          <w:p w14:paraId="100A160B" w14:textId="009AE5C1" w:rsidR="00633191" w:rsidRDefault="00517224" w:rsidP="00860B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agreements between the system board and the municipality's governing body</w:t>
            </w:r>
            <w:r w:rsidR="00212ADE">
              <w:t xml:space="preserve"> relating to assistance to municipal peace officers by </w:t>
            </w:r>
            <w:r w:rsidR="009A00BD">
              <w:t xml:space="preserve">system </w:t>
            </w:r>
            <w:r w:rsidR="00212ADE">
              <w:t>peace officers</w:t>
            </w:r>
            <w:r w:rsidR="007D0A62">
              <w:t xml:space="preserve">, including </w:t>
            </w:r>
            <w:r w:rsidR="009A00BD">
              <w:t xml:space="preserve">provisions </w:t>
            </w:r>
            <w:r w:rsidR="007D0A62">
              <w:t xml:space="preserve">establishing jurisdiction and </w:t>
            </w:r>
            <w:r w:rsidR="009A00BD">
              <w:t xml:space="preserve">certain immunity from </w:t>
            </w:r>
            <w:r w:rsidR="007D0A62">
              <w:t>liability</w:t>
            </w:r>
            <w:r w:rsidR="009A00BD">
              <w:t xml:space="preserve"> under</w:t>
            </w:r>
            <w:r w:rsidR="007D0A62">
              <w:t xml:space="preserve"> such </w:t>
            </w:r>
            <w:r w:rsidR="009A00BD">
              <w:t>agreements</w:t>
            </w:r>
            <w:r>
              <w:t>;</w:t>
            </w:r>
            <w:r w:rsidR="007D0A62">
              <w:t xml:space="preserve"> and</w:t>
            </w:r>
          </w:p>
          <w:p w14:paraId="7413E828" w14:textId="57862B8B" w:rsidR="00633191" w:rsidRDefault="00517224" w:rsidP="00860B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delegation of parking regulation authority </w:t>
            </w:r>
            <w:r w:rsidR="00B444D6">
              <w:t xml:space="preserve">from </w:t>
            </w:r>
            <w:r>
              <w:t xml:space="preserve">the municipality </w:t>
            </w:r>
            <w:r w:rsidR="00B444D6">
              <w:t xml:space="preserve">to </w:t>
            </w:r>
            <w:r>
              <w:t>the system</w:t>
            </w:r>
            <w:r w:rsidR="0042010D">
              <w:t xml:space="preserve"> by contract</w:t>
            </w:r>
            <w:r>
              <w:t>.</w:t>
            </w:r>
          </w:p>
          <w:p w14:paraId="2CAB82D7" w14:textId="126948B1" w:rsidR="00B7095B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D41983">
              <w:t>se</w:t>
            </w:r>
            <w:r>
              <w:t xml:space="preserve"> </w:t>
            </w:r>
            <w:r w:rsidR="00D41983">
              <w:t xml:space="preserve">provisions </w:t>
            </w:r>
            <w:r>
              <w:t>expressly do not limit a municipality</w:t>
            </w:r>
            <w:r w:rsidR="00F23140">
              <w:t>'s</w:t>
            </w:r>
            <w:r>
              <w:t xml:space="preserve"> police powers or law enforcement jurisdiction,</w:t>
            </w:r>
            <w:r w:rsidR="00F23140">
              <w:t xml:space="preserve"> render a campus peace officer </w:t>
            </w:r>
            <w:r w:rsidR="00D84856">
              <w:t>an employee of a municipality</w:t>
            </w:r>
            <w:r w:rsidR="00F23140">
              <w:t xml:space="preserve">, entitle </w:t>
            </w:r>
            <w:r w:rsidR="0092043A">
              <w:t xml:space="preserve">such </w:t>
            </w:r>
            <w:r w:rsidR="004806E9">
              <w:t>a peace</w:t>
            </w:r>
            <w:r w:rsidR="00F23140">
              <w:t xml:space="preserve"> officer to compensation from the municipality</w:t>
            </w:r>
            <w:r w:rsidR="0092043A">
              <w:t xml:space="preserve">, or restrict the power of the system </w:t>
            </w:r>
            <w:r w:rsidR="0092043A" w:rsidRPr="0092043A">
              <w:t>under other law to enforce laws, ordinances, or rules regulating traffic or parking</w:t>
            </w:r>
            <w:r w:rsidR="00F23140">
              <w:t>.</w:t>
            </w:r>
          </w:p>
          <w:p w14:paraId="68C6BB04" w14:textId="44A126F5" w:rsidR="008F5B15" w:rsidRDefault="008F5B15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018044" w14:textId="6C166D03" w:rsidR="008F5B15" w:rsidRPr="009C36CD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1126 amends the </w:t>
            </w:r>
            <w:r w:rsidR="006D48F7">
              <w:t xml:space="preserve">Agriculture Code and </w:t>
            </w:r>
            <w:r w:rsidR="00AC4937">
              <w:t>Health and Safety Code to make conforming change</w:t>
            </w:r>
            <w:r w:rsidR="006D48F7">
              <w:t>s</w:t>
            </w:r>
            <w:r w:rsidR="00AC4937">
              <w:t>.</w:t>
            </w:r>
            <w:r w:rsidR="00CB58AF">
              <w:t xml:space="preserve"> </w:t>
            </w:r>
          </w:p>
          <w:p w14:paraId="73A2752F" w14:textId="77777777" w:rsidR="008423E4" w:rsidRPr="00835628" w:rsidRDefault="008423E4" w:rsidP="00860BF5">
            <w:pPr>
              <w:rPr>
                <w:b/>
              </w:rPr>
            </w:pPr>
          </w:p>
        </w:tc>
      </w:tr>
      <w:tr w:rsidR="002F152D" w14:paraId="46016B2B" w14:textId="77777777" w:rsidTr="00345119">
        <w:tc>
          <w:tcPr>
            <w:tcW w:w="9576" w:type="dxa"/>
          </w:tcPr>
          <w:p w14:paraId="710D103E" w14:textId="77777777" w:rsidR="008423E4" w:rsidRPr="00A8133F" w:rsidRDefault="00517224" w:rsidP="00860BF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351E66" w14:textId="77777777" w:rsidR="008423E4" w:rsidRDefault="008423E4" w:rsidP="00860BF5"/>
          <w:p w14:paraId="27821F8F" w14:textId="5A7A61BA" w:rsidR="008423E4" w:rsidRPr="00233FDB" w:rsidRDefault="00517224" w:rsidP="00860BF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2021.</w:t>
            </w:r>
          </w:p>
        </w:tc>
      </w:tr>
    </w:tbl>
    <w:p w14:paraId="3F792FA1" w14:textId="77777777" w:rsidR="008423E4" w:rsidRPr="00BE0E75" w:rsidRDefault="008423E4" w:rsidP="00860BF5">
      <w:pPr>
        <w:jc w:val="both"/>
        <w:rPr>
          <w:rFonts w:ascii="Arial" w:hAnsi="Arial"/>
          <w:sz w:val="16"/>
          <w:szCs w:val="16"/>
        </w:rPr>
      </w:pPr>
    </w:p>
    <w:p w14:paraId="2725199E" w14:textId="77777777" w:rsidR="004108C3" w:rsidRPr="008423E4" w:rsidRDefault="004108C3" w:rsidP="00860BF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5CC7" w14:textId="77777777" w:rsidR="00000000" w:rsidRDefault="00517224">
      <w:r>
        <w:separator/>
      </w:r>
    </w:p>
  </w:endnote>
  <w:endnote w:type="continuationSeparator" w:id="0">
    <w:p w14:paraId="60FAF27A" w14:textId="77777777" w:rsidR="00000000" w:rsidRDefault="005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D43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152D" w14:paraId="3E7DD08F" w14:textId="77777777" w:rsidTr="009C1E9A">
      <w:trPr>
        <w:cantSplit/>
      </w:trPr>
      <w:tc>
        <w:tcPr>
          <w:tcW w:w="0" w:type="pct"/>
        </w:tcPr>
        <w:p w14:paraId="3EE4C5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895B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8FDCF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1D8C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96C7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152D" w14:paraId="4FC4A8A1" w14:textId="77777777" w:rsidTr="009C1E9A">
      <w:trPr>
        <w:cantSplit/>
      </w:trPr>
      <w:tc>
        <w:tcPr>
          <w:tcW w:w="0" w:type="pct"/>
        </w:tcPr>
        <w:p w14:paraId="7BB6DA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D76E2D" w14:textId="36D92F05" w:rsidR="00EC379B" w:rsidRPr="009C1E9A" w:rsidRDefault="0051722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23737</w:t>
          </w:r>
        </w:p>
      </w:tc>
      <w:tc>
        <w:tcPr>
          <w:tcW w:w="2453" w:type="pct"/>
        </w:tcPr>
        <w:p w14:paraId="53AA8532" w14:textId="5BF309D4" w:rsidR="00EC379B" w:rsidRDefault="0051722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02584">
            <w:t>21.122.114</w:t>
          </w:r>
          <w:r>
            <w:fldChar w:fldCharType="end"/>
          </w:r>
        </w:p>
      </w:tc>
    </w:tr>
    <w:tr w:rsidR="002F152D" w14:paraId="5837D866" w14:textId="77777777" w:rsidTr="009C1E9A">
      <w:trPr>
        <w:cantSplit/>
      </w:trPr>
      <w:tc>
        <w:tcPr>
          <w:tcW w:w="0" w:type="pct"/>
        </w:tcPr>
        <w:p w14:paraId="4685FDA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61EA3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62BF9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5D7A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152D" w14:paraId="5C20D2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7598A5" w14:textId="618948AF" w:rsidR="00EC379B" w:rsidRDefault="0051722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60BF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76DD8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49C3F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B36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F6936" w14:textId="77777777" w:rsidR="00000000" w:rsidRDefault="00517224">
      <w:r>
        <w:separator/>
      </w:r>
    </w:p>
  </w:footnote>
  <w:footnote w:type="continuationSeparator" w:id="0">
    <w:p w14:paraId="45580EE8" w14:textId="77777777" w:rsidR="00000000" w:rsidRDefault="0051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6BE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82F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AFE4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A2E"/>
    <w:multiLevelType w:val="hybridMultilevel"/>
    <w:tmpl w:val="61126780"/>
    <w:lvl w:ilvl="0" w:tplc="4D226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85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6F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2D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CE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4D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82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04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73"/>
    <w:rsid w:val="00000A70"/>
    <w:rsid w:val="00002584"/>
    <w:rsid w:val="000032B8"/>
    <w:rsid w:val="00003B06"/>
    <w:rsid w:val="000054B9"/>
    <w:rsid w:val="00006DA1"/>
    <w:rsid w:val="00007461"/>
    <w:rsid w:val="0001117E"/>
    <w:rsid w:val="0001125F"/>
    <w:rsid w:val="000124CE"/>
    <w:rsid w:val="0001338E"/>
    <w:rsid w:val="00013D24"/>
    <w:rsid w:val="00014AF0"/>
    <w:rsid w:val="000155D6"/>
    <w:rsid w:val="00015D4E"/>
    <w:rsid w:val="00020C1E"/>
    <w:rsid w:val="00020E9B"/>
    <w:rsid w:val="00022B38"/>
    <w:rsid w:val="000236C1"/>
    <w:rsid w:val="000236EC"/>
    <w:rsid w:val="000238B8"/>
    <w:rsid w:val="00023CEA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5D28"/>
    <w:rsid w:val="000608B0"/>
    <w:rsid w:val="0006104C"/>
    <w:rsid w:val="00064BF2"/>
    <w:rsid w:val="000667BA"/>
    <w:rsid w:val="000676A7"/>
    <w:rsid w:val="00067C9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21E1"/>
    <w:rsid w:val="000C224B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AD6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57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17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9D0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7F7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0E7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6BB"/>
    <w:rsid w:val="002116DD"/>
    <w:rsid w:val="00212ADE"/>
    <w:rsid w:val="0021383D"/>
    <w:rsid w:val="00216BBA"/>
    <w:rsid w:val="00216E12"/>
    <w:rsid w:val="00217466"/>
    <w:rsid w:val="0021751D"/>
    <w:rsid w:val="00217C49"/>
    <w:rsid w:val="0022177D"/>
    <w:rsid w:val="00224C37"/>
    <w:rsid w:val="002300D8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560"/>
    <w:rsid w:val="0024691D"/>
    <w:rsid w:val="00247D27"/>
    <w:rsid w:val="00250A50"/>
    <w:rsid w:val="00251ED5"/>
    <w:rsid w:val="00255EB6"/>
    <w:rsid w:val="00257429"/>
    <w:rsid w:val="00257C92"/>
    <w:rsid w:val="00260FA4"/>
    <w:rsid w:val="00261183"/>
    <w:rsid w:val="00262A66"/>
    <w:rsid w:val="00263140"/>
    <w:rsid w:val="002631C8"/>
    <w:rsid w:val="0026491A"/>
    <w:rsid w:val="00265133"/>
    <w:rsid w:val="00265A23"/>
    <w:rsid w:val="00267841"/>
    <w:rsid w:val="002710C3"/>
    <w:rsid w:val="002734D6"/>
    <w:rsid w:val="002749C0"/>
    <w:rsid w:val="00274C45"/>
    <w:rsid w:val="00275109"/>
    <w:rsid w:val="00275BEE"/>
    <w:rsid w:val="00277434"/>
    <w:rsid w:val="00280123"/>
    <w:rsid w:val="00281343"/>
    <w:rsid w:val="00281883"/>
    <w:rsid w:val="00285787"/>
    <w:rsid w:val="002874E3"/>
    <w:rsid w:val="00287656"/>
    <w:rsid w:val="00290745"/>
    <w:rsid w:val="00291518"/>
    <w:rsid w:val="00296FF0"/>
    <w:rsid w:val="002A17C0"/>
    <w:rsid w:val="002A48DF"/>
    <w:rsid w:val="002A5A84"/>
    <w:rsid w:val="002A695F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E5C"/>
    <w:rsid w:val="002D305A"/>
    <w:rsid w:val="002E21B8"/>
    <w:rsid w:val="002E7DF9"/>
    <w:rsid w:val="002F097B"/>
    <w:rsid w:val="002F152D"/>
    <w:rsid w:val="002F2A3F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7FF"/>
    <w:rsid w:val="003523BD"/>
    <w:rsid w:val="00352681"/>
    <w:rsid w:val="003536AA"/>
    <w:rsid w:val="003544CE"/>
    <w:rsid w:val="00355A98"/>
    <w:rsid w:val="00355D7E"/>
    <w:rsid w:val="0035775F"/>
    <w:rsid w:val="00357CA1"/>
    <w:rsid w:val="00361FE9"/>
    <w:rsid w:val="003624F2"/>
    <w:rsid w:val="00363854"/>
    <w:rsid w:val="00364315"/>
    <w:rsid w:val="003643E2"/>
    <w:rsid w:val="00370155"/>
    <w:rsid w:val="003712D5"/>
    <w:rsid w:val="0037331D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1F9"/>
    <w:rsid w:val="003D726D"/>
    <w:rsid w:val="003E0875"/>
    <w:rsid w:val="003E0BB8"/>
    <w:rsid w:val="003E3A96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10D"/>
    <w:rsid w:val="004241AA"/>
    <w:rsid w:val="0042422E"/>
    <w:rsid w:val="00430EF6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06E9"/>
    <w:rsid w:val="004818AC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1B67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22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7BE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0DEE"/>
    <w:rsid w:val="006012DA"/>
    <w:rsid w:val="00603B0F"/>
    <w:rsid w:val="006049F5"/>
    <w:rsid w:val="00605F7B"/>
    <w:rsid w:val="0060676D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191"/>
    <w:rsid w:val="00633262"/>
    <w:rsid w:val="00633460"/>
    <w:rsid w:val="006402E7"/>
    <w:rsid w:val="00640CB6"/>
    <w:rsid w:val="006412EF"/>
    <w:rsid w:val="00641B42"/>
    <w:rsid w:val="00645750"/>
    <w:rsid w:val="00650692"/>
    <w:rsid w:val="006508D3"/>
    <w:rsid w:val="00650AFA"/>
    <w:rsid w:val="0065271C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8F7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C3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69D"/>
    <w:rsid w:val="00743C4C"/>
    <w:rsid w:val="007443AB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A62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0DDA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E73"/>
    <w:rsid w:val="008531A1"/>
    <w:rsid w:val="00853A94"/>
    <w:rsid w:val="008547A3"/>
    <w:rsid w:val="0085797D"/>
    <w:rsid w:val="00860020"/>
    <w:rsid w:val="00860BF5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AF6"/>
    <w:rsid w:val="008726E5"/>
    <w:rsid w:val="0087289E"/>
    <w:rsid w:val="00874C05"/>
    <w:rsid w:val="0087680A"/>
    <w:rsid w:val="008806EB"/>
    <w:rsid w:val="00880FD5"/>
    <w:rsid w:val="008826F2"/>
    <w:rsid w:val="008845BA"/>
    <w:rsid w:val="00885203"/>
    <w:rsid w:val="008859CA"/>
    <w:rsid w:val="008861EE"/>
    <w:rsid w:val="00887ED6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B15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43A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50D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0BD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10F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7EB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215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937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2848"/>
    <w:rsid w:val="00B233BB"/>
    <w:rsid w:val="00B25612"/>
    <w:rsid w:val="00B26437"/>
    <w:rsid w:val="00B2678E"/>
    <w:rsid w:val="00B30647"/>
    <w:rsid w:val="00B31F0E"/>
    <w:rsid w:val="00B34F25"/>
    <w:rsid w:val="00B43672"/>
    <w:rsid w:val="00B444D6"/>
    <w:rsid w:val="00B473D8"/>
    <w:rsid w:val="00B5165A"/>
    <w:rsid w:val="00B524C1"/>
    <w:rsid w:val="00B52C8D"/>
    <w:rsid w:val="00B564BF"/>
    <w:rsid w:val="00B6016F"/>
    <w:rsid w:val="00B6104E"/>
    <w:rsid w:val="00B610C7"/>
    <w:rsid w:val="00B62106"/>
    <w:rsid w:val="00B626A8"/>
    <w:rsid w:val="00B65695"/>
    <w:rsid w:val="00B66526"/>
    <w:rsid w:val="00B665A3"/>
    <w:rsid w:val="00B7095B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237"/>
    <w:rsid w:val="00C013F4"/>
    <w:rsid w:val="00C03349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873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8AF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1983"/>
    <w:rsid w:val="00D42277"/>
    <w:rsid w:val="00D43263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56"/>
    <w:rsid w:val="00D84870"/>
    <w:rsid w:val="00D84B66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747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4BD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4B7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140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95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F6A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190380-E1DC-427C-A06E-BF020447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1B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1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1B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1B67"/>
    <w:rPr>
      <w:b/>
      <w:bCs/>
    </w:rPr>
  </w:style>
  <w:style w:type="paragraph" w:styleId="Revision">
    <w:name w:val="Revision"/>
    <w:hidden/>
    <w:uiPriority w:val="99"/>
    <w:semiHidden/>
    <w:rsid w:val="004C1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3369</Characters>
  <Application>Microsoft Office Word</Application>
  <DocSecurity>4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SB01126 (Committee Report (Unamended))</vt:lpstr>
    </vt:vector>
  </TitlesOfParts>
  <Company>State of Texas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23737</dc:subject>
  <dc:creator>State of Texas</dc:creator>
  <dc:description>SB 1126 by Springer-(H)Higher Education</dc:description>
  <cp:lastModifiedBy>Damian Duarte</cp:lastModifiedBy>
  <cp:revision>2</cp:revision>
  <cp:lastPrinted>2003-11-26T17:21:00Z</cp:lastPrinted>
  <dcterms:created xsi:type="dcterms:W3CDTF">2021-05-03T20:33:00Z</dcterms:created>
  <dcterms:modified xsi:type="dcterms:W3CDTF">2021-05-03T20:33:00Z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21.122.114</vt:lpwstr>
  </property>
</Properties>
</file>