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D22F7" w14:paraId="071E249E" w14:textId="77777777" w:rsidTr="00345119">
        <w:tc>
          <w:tcPr>
            <w:tcW w:w="9576" w:type="dxa"/>
            <w:noWrap/>
          </w:tcPr>
          <w:p w14:paraId="26618AFF" w14:textId="77777777" w:rsidR="008423E4" w:rsidRPr="0022177D" w:rsidRDefault="00507893" w:rsidP="00FE48D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6F7BEB" w14:textId="77777777" w:rsidR="008423E4" w:rsidRPr="0022177D" w:rsidRDefault="008423E4" w:rsidP="00FE48D6">
      <w:pPr>
        <w:jc w:val="center"/>
      </w:pPr>
    </w:p>
    <w:p w14:paraId="11F1BAE5" w14:textId="77777777" w:rsidR="008423E4" w:rsidRPr="00B31F0E" w:rsidRDefault="008423E4" w:rsidP="00FE48D6"/>
    <w:p w14:paraId="019B927A" w14:textId="77777777" w:rsidR="008423E4" w:rsidRPr="00742794" w:rsidRDefault="008423E4" w:rsidP="00FE48D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22F7" w14:paraId="1867EE43" w14:textId="77777777" w:rsidTr="00345119">
        <w:tc>
          <w:tcPr>
            <w:tcW w:w="9576" w:type="dxa"/>
          </w:tcPr>
          <w:p w14:paraId="484EF709" w14:textId="63ABBCDB" w:rsidR="008423E4" w:rsidRPr="00861995" w:rsidRDefault="00507893" w:rsidP="00FE48D6">
            <w:pPr>
              <w:jc w:val="right"/>
            </w:pPr>
            <w:r>
              <w:t>S.B. 1129</w:t>
            </w:r>
          </w:p>
        </w:tc>
      </w:tr>
      <w:tr w:rsidR="00CD22F7" w14:paraId="4B61CCDA" w14:textId="77777777" w:rsidTr="00345119">
        <w:tc>
          <w:tcPr>
            <w:tcW w:w="9576" w:type="dxa"/>
          </w:tcPr>
          <w:p w14:paraId="662C450C" w14:textId="1B1627C4" w:rsidR="008423E4" w:rsidRPr="00861995" w:rsidRDefault="00507893" w:rsidP="00FE48D6">
            <w:pPr>
              <w:jc w:val="right"/>
            </w:pPr>
            <w:r>
              <w:t xml:space="preserve">By: </w:t>
            </w:r>
            <w:r w:rsidR="00301BA9">
              <w:t>Zaffirini</w:t>
            </w:r>
          </w:p>
        </w:tc>
      </w:tr>
      <w:tr w:rsidR="00CD22F7" w14:paraId="55589551" w14:textId="77777777" w:rsidTr="00345119">
        <w:tc>
          <w:tcPr>
            <w:tcW w:w="9576" w:type="dxa"/>
          </w:tcPr>
          <w:p w14:paraId="01FCABD4" w14:textId="516691E2" w:rsidR="008423E4" w:rsidRPr="00861995" w:rsidRDefault="00507893" w:rsidP="00FE48D6">
            <w:pPr>
              <w:jc w:val="right"/>
            </w:pPr>
            <w:r>
              <w:t>Judiciary &amp; Civil Jurisprudence</w:t>
            </w:r>
          </w:p>
        </w:tc>
      </w:tr>
      <w:tr w:rsidR="00CD22F7" w14:paraId="3F439CFA" w14:textId="77777777" w:rsidTr="00345119">
        <w:tc>
          <w:tcPr>
            <w:tcW w:w="9576" w:type="dxa"/>
          </w:tcPr>
          <w:p w14:paraId="42653233" w14:textId="73353F98" w:rsidR="008423E4" w:rsidRDefault="00507893" w:rsidP="00FE48D6">
            <w:pPr>
              <w:jc w:val="right"/>
            </w:pPr>
            <w:r>
              <w:t>Committee Report (Unamended)</w:t>
            </w:r>
          </w:p>
        </w:tc>
      </w:tr>
    </w:tbl>
    <w:p w14:paraId="1FEA037B" w14:textId="77777777" w:rsidR="008423E4" w:rsidRDefault="008423E4" w:rsidP="00FE48D6">
      <w:pPr>
        <w:tabs>
          <w:tab w:val="right" w:pos="9360"/>
        </w:tabs>
      </w:pPr>
    </w:p>
    <w:p w14:paraId="6F94454C" w14:textId="77777777" w:rsidR="008423E4" w:rsidRDefault="008423E4" w:rsidP="00FE48D6"/>
    <w:p w14:paraId="2633569E" w14:textId="77777777" w:rsidR="008423E4" w:rsidRDefault="008423E4" w:rsidP="00FE48D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D22F7" w14:paraId="412F6624" w14:textId="77777777" w:rsidTr="00345119">
        <w:tc>
          <w:tcPr>
            <w:tcW w:w="9576" w:type="dxa"/>
          </w:tcPr>
          <w:p w14:paraId="1A8EB55B" w14:textId="77777777" w:rsidR="008423E4" w:rsidRPr="00A8133F" w:rsidRDefault="00507893" w:rsidP="00FE48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D0223F" w14:textId="67E3C1D3" w:rsidR="008423E4" w:rsidRDefault="008423E4" w:rsidP="00FE48D6"/>
          <w:p w14:paraId="278FB82F" w14:textId="67E80F2B" w:rsidR="00BB032A" w:rsidRDefault="00507893" w:rsidP="00FE48D6">
            <w:pPr>
              <w:jc w:val="both"/>
            </w:pPr>
            <w:r>
              <w:t>I</w:t>
            </w:r>
            <w:r w:rsidRPr="00BB032A">
              <w:t>n 2017</w:t>
            </w:r>
            <w:r>
              <w:t>,</w:t>
            </w:r>
            <w:r w:rsidRPr="00BB032A">
              <w:t xml:space="preserve"> the legislature </w:t>
            </w:r>
            <w:r w:rsidR="001F2901">
              <w:t xml:space="preserve">enacted </w:t>
            </w:r>
            <w:r w:rsidRPr="00BB032A">
              <w:t>S</w:t>
            </w:r>
            <w:r>
              <w:t xml:space="preserve">enate </w:t>
            </w:r>
            <w:r w:rsidRPr="00BB032A">
              <w:t>B</w:t>
            </w:r>
            <w:r>
              <w:t>ill</w:t>
            </w:r>
            <w:r w:rsidRPr="00BB032A">
              <w:t xml:space="preserve"> 39, which</w:t>
            </w:r>
            <w:r w:rsidR="00EB4982">
              <w:t>,</w:t>
            </w:r>
            <w:r w:rsidR="00932D8F">
              <w:t xml:space="preserve"> among other things,</w:t>
            </w:r>
            <w:r w:rsidRPr="00BB032A">
              <w:t xml:space="preserve"> allowed courts with guardianship jurisdiction to transfer a case to a court in another county if the </w:t>
            </w:r>
            <w:r w:rsidR="00102AF3">
              <w:t>ward</w:t>
            </w:r>
            <w:r w:rsidRPr="00BB032A">
              <w:t xml:space="preserve"> is moved to that county. This allow</w:t>
            </w:r>
            <w:r w:rsidR="005C5AA8">
              <w:t>ed</w:t>
            </w:r>
            <w:r w:rsidRPr="00BB032A">
              <w:t xml:space="preserve"> a court that is closer to the </w:t>
            </w:r>
            <w:r w:rsidR="00102AF3">
              <w:t>ward</w:t>
            </w:r>
            <w:r w:rsidRPr="00BB032A">
              <w:t xml:space="preserve"> with a guardian to monitor his or her care. Current law, however, does not e</w:t>
            </w:r>
            <w:r w:rsidRPr="00BB032A">
              <w:t xml:space="preserve">xplicitly require the recipient court to accept the transfer. </w:t>
            </w:r>
            <w:r w:rsidR="00932D8F">
              <w:t xml:space="preserve">In addition to this, it has been asserted that </w:t>
            </w:r>
            <w:r w:rsidR="00932D8F" w:rsidRPr="00BB032A">
              <w:t>mediation is underutilized in guardianship proceedings, despite its potential to resolve family disputes</w:t>
            </w:r>
            <w:r w:rsidR="00102AF3">
              <w:t>,</w:t>
            </w:r>
            <w:r w:rsidR="00932D8F" w:rsidRPr="00BB032A">
              <w:t xml:space="preserve"> minimize costs and conflict</w:t>
            </w:r>
            <w:r w:rsidR="00102AF3">
              <w:t>,</w:t>
            </w:r>
            <w:r w:rsidR="00932D8F" w:rsidRPr="00BB032A">
              <w:t xml:space="preserve"> and help the court identify feasible guardianship alternatives and supports and services</w:t>
            </w:r>
            <w:r w:rsidR="00A42298" w:rsidRPr="00BB032A">
              <w:t xml:space="preserve">. </w:t>
            </w:r>
            <w:r w:rsidRPr="00BB032A">
              <w:t xml:space="preserve">S.B. 1129 </w:t>
            </w:r>
            <w:r w:rsidR="00932D8F">
              <w:t xml:space="preserve">seeks to address these issues by </w:t>
            </w:r>
            <w:r w:rsidRPr="00BB032A">
              <w:t>requir</w:t>
            </w:r>
            <w:r w:rsidR="00932D8F">
              <w:t>ing</w:t>
            </w:r>
            <w:r w:rsidRPr="00BB032A">
              <w:t xml:space="preserve"> a court </w:t>
            </w:r>
            <w:r w:rsidR="00102AF3">
              <w:t xml:space="preserve">to accept a transfer of a guardianship of a ward who </w:t>
            </w:r>
            <w:r w:rsidR="00102AF3" w:rsidRPr="00102AF3">
              <w:t>reside</w:t>
            </w:r>
            <w:r w:rsidR="00102AF3">
              <w:t>s</w:t>
            </w:r>
            <w:r w:rsidR="00102AF3" w:rsidRPr="00102AF3">
              <w:t xml:space="preserve"> in the county to which the guardianship is </w:t>
            </w:r>
            <w:r w:rsidR="00102AF3">
              <w:t xml:space="preserve">being </w:t>
            </w:r>
            <w:r w:rsidR="00102AF3" w:rsidRPr="00102AF3">
              <w:t>transferred</w:t>
            </w:r>
            <w:r w:rsidR="00102AF3">
              <w:t xml:space="preserve"> and for whom the transfer would be in the best interest and by establishing a guardiansh</w:t>
            </w:r>
            <w:r w:rsidR="005C5AA8">
              <w:t xml:space="preserve">ip mediation training course in order to allow for more mediation services. </w:t>
            </w:r>
          </w:p>
          <w:p w14:paraId="172352E2" w14:textId="77777777" w:rsidR="008423E4" w:rsidRPr="00E26B13" w:rsidRDefault="008423E4" w:rsidP="00FE48D6">
            <w:pPr>
              <w:pStyle w:val="Header"/>
              <w:jc w:val="both"/>
              <w:rPr>
                <w:b/>
              </w:rPr>
            </w:pPr>
          </w:p>
        </w:tc>
      </w:tr>
      <w:tr w:rsidR="00CD22F7" w14:paraId="306226B3" w14:textId="77777777" w:rsidTr="00345119">
        <w:tc>
          <w:tcPr>
            <w:tcW w:w="9576" w:type="dxa"/>
          </w:tcPr>
          <w:p w14:paraId="526E5C34" w14:textId="77777777" w:rsidR="0017725B" w:rsidRDefault="00507893" w:rsidP="00FE48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D40AA8" w14:textId="77777777" w:rsidR="0017725B" w:rsidRDefault="0017725B" w:rsidP="00FE48D6">
            <w:pPr>
              <w:rPr>
                <w:b/>
                <w:u w:val="single"/>
              </w:rPr>
            </w:pPr>
          </w:p>
          <w:p w14:paraId="57A9D214" w14:textId="77777777" w:rsidR="001C6072" w:rsidRPr="001C6072" w:rsidRDefault="00507893" w:rsidP="00FE48D6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8ED3DA2" w14:textId="77777777" w:rsidR="0017725B" w:rsidRPr="0017725B" w:rsidRDefault="0017725B" w:rsidP="00FE48D6">
            <w:pPr>
              <w:rPr>
                <w:b/>
                <w:u w:val="single"/>
              </w:rPr>
            </w:pPr>
          </w:p>
        </w:tc>
      </w:tr>
      <w:tr w:rsidR="00CD22F7" w14:paraId="4B3A1C8F" w14:textId="77777777" w:rsidTr="00345119">
        <w:tc>
          <w:tcPr>
            <w:tcW w:w="9576" w:type="dxa"/>
          </w:tcPr>
          <w:p w14:paraId="4073795E" w14:textId="77777777" w:rsidR="008423E4" w:rsidRPr="00A8133F" w:rsidRDefault="00507893" w:rsidP="00FE48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903EAE9" w14:textId="77777777" w:rsidR="008423E4" w:rsidRDefault="008423E4" w:rsidP="00FE48D6"/>
          <w:p w14:paraId="1657A55E" w14:textId="324B4BDC" w:rsidR="001C6072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</w:t>
            </w:r>
            <w:r>
              <w:t xml:space="preserve">ommittee's opinion that rulemaking authority is expressly granted to the </w:t>
            </w:r>
            <w:r w:rsidRPr="001C6072">
              <w:t>Office of Court Administrati</w:t>
            </w:r>
            <w:r>
              <w:t xml:space="preserve">on of the Texas Judicial System in SECTION </w:t>
            </w:r>
            <w:r w:rsidR="00085733">
              <w:t xml:space="preserve">5 </w:t>
            </w:r>
            <w:r>
              <w:t>of this bill.</w:t>
            </w:r>
          </w:p>
          <w:p w14:paraId="3B6FCDE2" w14:textId="77777777" w:rsidR="008423E4" w:rsidRPr="00E21FDC" w:rsidRDefault="008423E4" w:rsidP="00FE48D6">
            <w:pPr>
              <w:rPr>
                <w:b/>
              </w:rPr>
            </w:pPr>
          </w:p>
        </w:tc>
      </w:tr>
      <w:tr w:rsidR="00CD22F7" w14:paraId="22701B28" w14:textId="77777777" w:rsidTr="00345119">
        <w:tc>
          <w:tcPr>
            <w:tcW w:w="9576" w:type="dxa"/>
          </w:tcPr>
          <w:p w14:paraId="0F668267" w14:textId="77777777" w:rsidR="008423E4" w:rsidRPr="00A8133F" w:rsidRDefault="00507893" w:rsidP="00FE48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A564D5" w14:textId="77777777" w:rsidR="008423E4" w:rsidRDefault="008423E4" w:rsidP="00FE48D6"/>
          <w:p w14:paraId="3855B2A3" w14:textId="0DAA07B3" w:rsidR="00BE5865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1129 </w:t>
            </w:r>
            <w:r w:rsidR="001C6072">
              <w:t>amends the Estates Code to</w:t>
            </w:r>
            <w:r>
              <w:t xml:space="preserve"> revise provisions under which a court determines whether to transfer guardianship of a ward from one county to another</w:t>
            </w:r>
            <w:r w:rsidR="00D8064F">
              <w:t xml:space="preserve"> as follows</w:t>
            </w:r>
            <w:r>
              <w:t>:</w:t>
            </w:r>
          </w:p>
          <w:p w14:paraId="4EEC01A8" w14:textId="4EF60A29" w:rsidR="00D9459F" w:rsidRDefault="00507893" w:rsidP="00FE48D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include</w:t>
            </w:r>
            <w:r w:rsidR="00D8064F">
              <w:t>s</w:t>
            </w:r>
            <w:r>
              <w:t xml:space="preserve"> among the court</w:t>
            </w:r>
            <w:r w:rsidR="00EC3582">
              <w:t>'</w:t>
            </w:r>
            <w:r>
              <w:t>s required findings</w:t>
            </w:r>
            <w:r w:rsidR="004040AD">
              <w:t xml:space="preserve"> to warrant transfer</w:t>
            </w:r>
            <w:r>
              <w:t xml:space="preserve"> that the ward has resided in the county to which the guardi</w:t>
            </w:r>
            <w:r>
              <w:t xml:space="preserve">anship is to be transferred for at least six months as an alternative to a lack of </w:t>
            </w:r>
            <w:r w:rsidR="00D8064F">
              <w:t xml:space="preserve">a showing of </w:t>
            </w:r>
            <w:r>
              <w:t xml:space="preserve">good cause to deny the transfer; and </w:t>
            </w:r>
          </w:p>
          <w:p w14:paraId="5BB04E4A" w14:textId="3E0899EF" w:rsidR="00D9459F" w:rsidRDefault="00507893" w:rsidP="00FE48D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includes among the orders the court must enter </w:t>
            </w:r>
            <w:r w:rsidR="004040AD">
              <w:t>if</w:t>
            </w:r>
            <w:r>
              <w:t>, coupled with such a finding,</w:t>
            </w:r>
            <w:r w:rsidR="004040AD">
              <w:t xml:space="preserve"> the transfer is determined to be in the</w:t>
            </w:r>
            <w:r>
              <w:t xml:space="preserve"> wa</w:t>
            </w:r>
            <w:r>
              <w:t>rd's</w:t>
            </w:r>
            <w:r w:rsidR="004040AD">
              <w:t xml:space="preserve"> best interest an order</w:t>
            </w:r>
            <w:r>
              <w:t xml:space="preserve"> </w:t>
            </w:r>
            <w:r w:rsidR="00E21B5D">
              <w:t>certif</w:t>
            </w:r>
            <w:r w:rsidR="004040AD">
              <w:t>ying</w:t>
            </w:r>
            <w:r>
              <w:t xml:space="preserve"> </w:t>
            </w:r>
            <w:r w:rsidR="00E21B5D">
              <w:t xml:space="preserve">that the guardianship is in compliance with the Estates Code at the time of transfer. </w:t>
            </w:r>
          </w:p>
          <w:p w14:paraId="661A4127" w14:textId="1626FEB6" w:rsidR="008423E4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the court, in making a determination that </w:t>
            </w:r>
            <w:r w:rsidR="003925F6">
              <w:t>the</w:t>
            </w:r>
            <w:r>
              <w:t xml:space="preserve"> transfer is in the</w:t>
            </w:r>
            <w:r w:rsidR="00D8064F">
              <w:t xml:space="preserve"> ward's</w:t>
            </w:r>
            <w:r>
              <w:t xml:space="preserve"> best interests, </w:t>
            </w:r>
            <w:r w:rsidR="003925F6">
              <w:t xml:space="preserve">to consider </w:t>
            </w:r>
            <w:r>
              <w:t xml:space="preserve">the </w:t>
            </w:r>
            <w:r>
              <w:t>interests of justice, the convenience of the parties, an</w:t>
            </w:r>
            <w:r w:rsidR="004040AD">
              <w:t xml:space="preserve">d, if the ward is 12 years of age or older, </w:t>
            </w:r>
            <w:r>
              <w:t xml:space="preserve">the </w:t>
            </w:r>
            <w:r w:rsidR="00D8064F">
              <w:t xml:space="preserve">ward's </w:t>
            </w:r>
            <w:r>
              <w:t xml:space="preserve">preference. The bill requires a county, on receipt of </w:t>
            </w:r>
            <w:r w:rsidR="004040AD">
              <w:t>a transfer</w:t>
            </w:r>
            <w:r>
              <w:t xml:space="preserve"> order, to accept the transfer of the guardianship.</w:t>
            </w:r>
          </w:p>
          <w:p w14:paraId="18426616" w14:textId="77777777" w:rsidR="00E21B5D" w:rsidRDefault="00E21B5D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3972873" w14:textId="71063985" w:rsidR="002E2F4F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1129 establishes the fo</w:t>
            </w:r>
            <w:r>
              <w:t>llowing when a guardianship is transferred from one county to another</w:t>
            </w:r>
            <w:r w:rsidR="004040AD">
              <w:t>:</w:t>
            </w:r>
          </w:p>
          <w:p w14:paraId="5F2FC592" w14:textId="3572556C" w:rsidR="002E2F4F" w:rsidRDefault="00507893" w:rsidP="00FE48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court to which a guardianship is transferred becomes the court of continuing, exclusive jurisdiction;</w:t>
            </w:r>
          </w:p>
          <w:p w14:paraId="33CB1F66" w14:textId="382E30A1" w:rsidR="002E2F4F" w:rsidRDefault="00507893" w:rsidP="00FE48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2F7338">
              <w:t xml:space="preserve"> proceeding</w:t>
            </w:r>
            <w:r>
              <w:t xml:space="preserve"> relating to the guardianship that is commenced in the court orderi</w:t>
            </w:r>
            <w:r>
              <w:t>ng the transfer continues in the court to which the guardianship is transferred as if the proceeding commenced in the receiving court;</w:t>
            </w:r>
            <w:r w:rsidR="002F7338">
              <w:t xml:space="preserve"> </w:t>
            </w:r>
          </w:p>
          <w:p w14:paraId="4F616435" w14:textId="477A82A0" w:rsidR="00B11690" w:rsidRDefault="00507893" w:rsidP="00FE48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2F7338">
              <w:t>judgment</w:t>
            </w:r>
            <w:r>
              <w:t xml:space="preserve"> or order entered in the guardianship before the transfer has the same effect and must be enforced as a judgme</w:t>
            </w:r>
            <w:r>
              <w:t>nt or order entered by the court to which the guardianship is transferred; and</w:t>
            </w:r>
            <w:r w:rsidR="002F7338">
              <w:t xml:space="preserve"> </w:t>
            </w:r>
          </w:p>
          <w:p w14:paraId="22CBC47B" w14:textId="1ED7B26F" w:rsidR="004040AD" w:rsidRDefault="00507893" w:rsidP="00FE48D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court ordering the transfer does not retain:</w:t>
            </w:r>
          </w:p>
          <w:p w14:paraId="5A1FEF22" w14:textId="53E4FCBA" w:rsidR="004040AD" w:rsidRDefault="00507893" w:rsidP="00FE48D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jurisdiction of the ward who is the subject of the guardianship; </w:t>
            </w:r>
            <w:r w:rsidR="00B11690">
              <w:t>and</w:t>
            </w:r>
            <w:r>
              <w:t xml:space="preserve"> </w:t>
            </w:r>
          </w:p>
          <w:p w14:paraId="203E1DFB" w14:textId="2A675B22" w:rsidR="00B11690" w:rsidRDefault="00507893" w:rsidP="00FE48D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authority to enforce an order entered for a violation</w:t>
            </w:r>
            <w:r>
              <w:t xml:space="preserve"> of provisions relating to guardianship and related procedures that occurre</w:t>
            </w:r>
            <w:r w:rsidR="00865A67">
              <w:t>d before or after the transfer.</w:t>
            </w:r>
            <w:r>
              <w:t xml:space="preserve"> </w:t>
            </w:r>
          </w:p>
          <w:p w14:paraId="53F1D4A3" w14:textId="77777777" w:rsidR="00B11690" w:rsidRDefault="00B11690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532991" w14:textId="16D9A65E" w:rsidR="002F7338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1129 </w:t>
            </w:r>
            <w:r w:rsidR="00865A67">
              <w:t>exempts</w:t>
            </w:r>
            <w:r>
              <w:t xml:space="preserve"> a judge of the court from which a guardianship is transferred from </w:t>
            </w:r>
            <w:r w:rsidR="00865A67">
              <w:t>civil liability</w:t>
            </w:r>
            <w:r>
              <w:t xml:space="preserve"> for any injury, damage, or loss to the ward or</w:t>
            </w:r>
            <w:r>
              <w:t xml:space="preserve"> the ward's estate </w:t>
            </w:r>
            <w:r w:rsidR="00865A67">
              <w:t xml:space="preserve">that occurs after the transfer and exempts a judge of the court to which a guardianship is transferred from civil liability for any such loss that occurred before the transfer. </w:t>
            </w:r>
          </w:p>
          <w:p w14:paraId="7F6E75C4" w14:textId="77777777" w:rsidR="00865A67" w:rsidRDefault="00865A67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F5B8AA" w14:textId="36D03226" w:rsidR="00992386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1129 </w:t>
            </w:r>
            <w:r w:rsidR="000B79E7">
              <w:t>establis</w:t>
            </w:r>
            <w:r w:rsidR="007A055E">
              <w:t xml:space="preserve">hes </w:t>
            </w:r>
            <w:r>
              <w:t>the following</w:t>
            </w:r>
            <w:r w:rsidR="007A055E">
              <w:t xml:space="preserve">, if </w:t>
            </w:r>
            <w:r w:rsidR="00D3530D">
              <w:t>a court refers a contested guardianship proceeding regarding the appointment of a guardian for a proposed ward to mediation</w:t>
            </w:r>
            <w:r>
              <w:t>:</w:t>
            </w:r>
          </w:p>
          <w:p w14:paraId="269F433B" w14:textId="77777777" w:rsidR="00992386" w:rsidRDefault="00507893" w:rsidP="00FE48D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Pr="00D3530D">
              <w:t>determination of incapacity of the proposed ward may be an issue to be mediated, but the applicant for guardianship must still pr</w:t>
            </w:r>
            <w:r w:rsidRPr="00D3530D">
              <w:t>ove to the court that the proposed ward is an incapacitated person in accordance with the requirements</w:t>
            </w:r>
            <w:r>
              <w:t xml:space="preserve"> </w:t>
            </w:r>
            <w:r w:rsidR="00E54E87">
              <w:t>of the general procedure to appoint a guardian</w:t>
            </w:r>
            <w:r>
              <w:t>;</w:t>
            </w:r>
            <w:r w:rsidR="00E54E87">
              <w:t xml:space="preserve"> </w:t>
            </w:r>
            <w:r>
              <w:t>and</w:t>
            </w:r>
          </w:p>
          <w:p w14:paraId="3C1117EF" w14:textId="23927731" w:rsidR="00992386" w:rsidRDefault="00507893" w:rsidP="00FE48D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all parties to the proceeding are required to </w:t>
            </w:r>
            <w:r w:rsidRPr="00D3530D">
              <w:t>evaluate during the mediation alternatives to guardians</w:t>
            </w:r>
            <w:r w:rsidRPr="00D3530D">
              <w:t>hip and supports and services available to the proposed ward, including whether the supports and services and alternatives to guardianship would be feasible to avoid the need for appointment of a guardian.</w:t>
            </w:r>
            <w:r w:rsidR="00E54E87">
              <w:t xml:space="preserve"> </w:t>
            </w:r>
          </w:p>
          <w:p w14:paraId="7F2E8A81" w14:textId="08CCD434" w:rsidR="00992386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F93B8A">
              <w:t xml:space="preserve">provides for the payment </w:t>
            </w:r>
            <w:r w:rsidR="009705B8">
              <w:t xml:space="preserve">of </w:t>
            </w:r>
            <w:r>
              <w:t>mediation</w:t>
            </w:r>
            <w:r w:rsidR="00F93B8A">
              <w:t xml:space="preserve"> costs</w:t>
            </w:r>
            <w:r>
              <w:t xml:space="preserve"> and referral to a local alternative dispute resolution center and waiver of the mediation cost, under certain conditions</w:t>
            </w:r>
            <w:r w:rsidR="00F93B8A">
              <w:t>.</w:t>
            </w:r>
            <w:r>
              <w:t xml:space="preserve"> </w:t>
            </w:r>
          </w:p>
          <w:p w14:paraId="257DDA8D" w14:textId="77777777" w:rsidR="00992386" w:rsidRDefault="00992386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6E0749" w14:textId="60BBC694" w:rsidR="00800E48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1129 </w:t>
            </w:r>
            <w:r w:rsidR="002A76BD">
              <w:t xml:space="preserve">amends the Government Code to require the </w:t>
            </w:r>
            <w:r w:rsidR="002A76BD" w:rsidRPr="002A76BD">
              <w:t>Office of Court Administration of the Texas Judicial System</w:t>
            </w:r>
            <w:r w:rsidR="008B4E51">
              <w:t xml:space="preserve"> (OCA)</w:t>
            </w:r>
            <w:r w:rsidR="002A76BD">
              <w:t xml:space="preserve"> by rule to establish a training course with at least 24 hours of training for persons facilitating mediations </w:t>
            </w:r>
            <w:r w:rsidR="008B4E51">
              <w:t>relating to guardianship that may be provided by a mediation training provider approved by OCA. The bill requires a mediation training provider to adhere to the established curriculum in providing the training course. The</w:t>
            </w:r>
            <w:r w:rsidR="00057A24">
              <w:t>se provisions</w:t>
            </w:r>
            <w:r w:rsidR="008B4E51">
              <w:t xml:space="preserve"> expressly do not require a mediator facilitating a mediation to attend or be certified under such a training course.</w:t>
            </w:r>
          </w:p>
          <w:p w14:paraId="602D9C70" w14:textId="77777777" w:rsidR="00800E48" w:rsidRDefault="00800E48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3CE15A" w14:textId="3258886E" w:rsidR="00276A64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1129 applies to a guardianship created before, on, </w:t>
            </w:r>
            <w:r>
              <w:t>or after the bill's effective date. Implementation of a provision of this bill by OCA is mandatory only if a specific appropriation is made for that purpose.</w:t>
            </w:r>
            <w:r w:rsidR="00800E48">
              <w:t xml:space="preserve"> </w:t>
            </w:r>
            <w:r w:rsidR="008B4E51">
              <w:t xml:space="preserve">  </w:t>
            </w:r>
          </w:p>
          <w:p w14:paraId="27DE9E6A" w14:textId="77777777" w:rsidR="008423E4" w:rsidRPr="00835628" w:rsidRDefault="008423E4" w:rsidP="00FE48D6">
            <w:pPr>
              <w:rPr>
                <w:b/>
              </w:rPr>
            </w:pPr>
          </w:p>
        </w:tc>
      </w:tr>
      <w:tr w:rsidR="00CD22F7" w14:paraId="638A0661" w14:textId="77777777" w:rsidTr="00345119">
        <w:tc>
          <w:tcPr>
            <w:tcW w:w="9576" w:type="dxa"/>
          </w:tcPr>
          <w:p w14:paraId="41CE8E6B" w14:textId="77777777" w:rsidR="008423E4" w:rsidRPr="00A8133F" w:rsidRDefault="00507893" w:rsidP="00FE48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C3A8440" w14:textId="77777777" w:rsidR="008423E4" w:rsidRDefault="008423E4" w:rsidP="00FE48D6"/>
          <w:p w14:paraId="5BF05BDF" w14:textId="49D4AB07" w:rsidR="008423E4" w:rsidRPr="003624F2" w:rsidRDefault="00507893" w:rsidP="00FE48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AB1B5C">
              <w:t>2021</w:t>
            </w:r>
            <w:r>
              <w:t>.</w:t>
            </w:r>
          </w:p>
          <w:p w14:paraId="2F0164F0" w14:textId="77777777" w:rsidR="008423E4" w:rsidRPr="00233FDB" w:rsidRDefault="008423E4" w:rsidP="00FE48D6">
            <w:pPr>
              <w:rPr>
                <w:b/>
              </w:rPr>
            </w:pPr>
          </w:p>
        </w:tc>
      </w:tr>
    </w:tbl>
    <w:p w14:paraId="4123A41C" w14:textId="77777777" w:rsidR="008423E4" w:rsidRPr="00BE0E75" w:rsidRDefault="008423E4" w:rsidP="00FE48D6">
      <w:pPr>
        <w:jc w:val="both"/>
        <w:rPr>
          <w:rFonts w:ascii="Arial" w:hAnsi="Arial"/>
          <w:sz w:val="16"/>
          <w:szCs w:val="16"/>
        </w:rPr>
      </w:pPr>
    </w:p>
    <w:p w14:paraId="0F5B9D18" w14:textId="77777777" w:rsidR="004108C3" w:rsidRPr="008423E4" w:rsidRDefault="004108C3" w:rsidP="00FE48D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18D2" w14:textId="77777777" w:rsidR="00000000" w:rsidRDefault="00507893">
      <w:r>
        <w:separator/>
      </w:r>
    </w:p>
  </w:endnote>
  <w:endnote w:type="continuationSeparator" w:id="0">
    <w:p w14:paraId="15278748" w14:textId="77777777" w:rsidR="00000000" w:rsidRDefault="005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44A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22F7" w14:paraId="0873A9DF" w14:textId="77777777" w:rsidTr="009C1E9A">
      <w:trPr>
        <w:cantSplit/>
      </w:trPr>
      <w:tc>
        <w:tcPr>
          <w:tcW w:w="0" w:type="pct"/>
        </w:tcPr>
        <w:p w14:paraId="208950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D39C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1F935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64E7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007A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22F7" w14:paraId="62013767" w14:textId="77777777" w:rsidTr="009C1E9A">
      <w:trPr>
        <w:cantSplit/>
      </w:trPr>
      <w:tc>
        <w:tcPr>
          <w:tcW w:w="0" w:type="pct"/>
        </w:tcPr>
        <w:p w14:paraId="584893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40791D" w14:textId="179DF0A6" w:rsidR="00EC379B" w:rsidRPr="009C1E9A" w:rsidRDefault="005078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23474</w:t>
          </w:r>
        </w:p>
      </w:tc>
      <w:tc>
        <w:tcPr>
          <w:tcW w:w="2453" w:type="pct"/>
        </w:tcPr>
        <w:p w14:paraId="0B735143" w14:textId="1960B652" w:rsidR="00EC379B" w:rsidRDefault="005078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34B6F">
            <w:t>21.121.333</w:t>
          </w:r>
          <w:r>
            <w:fldChar w:fldCharType="end"/>
          </w:r>
        </w:p>
      </w:tc>
    </w:tr>
    <w:tr w:rsidR="00CD22F7" w14:paraId="220BFCC7" w14:textId="77777777" w:rsidTr="009C1E9A">
      <w:trPr>
        <w:cantSplit/>
      </w:trPr>
      <w:tc>
        <w:tcPr>
          <w:tcW w:w="0" w:type="pct"/>
        </w:tcPr>
        <w:p w14:paraId="63B74FD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7FF59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9FDFB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FAFB0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22F7" w14:paraId="3B86D7E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ED209B" w14:textId="03B83C75" w:rsidR="00EC379B" w:rsidRDefault="005078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48D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408AA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1584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2C5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C87A" w14:textId="77777777" w:rsidR="00000000" w:rsidRDefault="00507893">
      <w:r>
        <w:separator/>
      </w:r>
    </w:p>
  </w:footnote>
  <w:footnote w:type="continuationSeparator" w:id="0">
    <w:p w14:paraId="0292184E" w14:textId="77777777" w:rsidR="00000000" w:rsidRDefault="0050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82D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BAF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D3D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0E3D"/>
    <w:multiLevelType w:val="hybridMultilevel"/>
    <w:tmpl w:val="DE0060D8"/>
    <w:lvl w:ilvl="0" w:tplc="0EC60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6E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00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E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A8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6B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D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60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1A5"/>
    <w:multiLevelType w:val="hybridMultilevel"/>
    <w:tmpl w:val="9C005AFC"/>
    <w:lvl w:ilvl="0" w:tplc="6D54C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C6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C4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E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B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22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2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22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6D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5AA"/>
    <w:multiLevelType w:val="hybridMultilevel"/>
    <w:tmpl w:val="DD0E2470"/>
    <w:lvl w:ilvl="0" w:tplc="794A9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E4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67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B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EF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05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43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8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8A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E2020"/>
    <w:multiLevelType w:val="hybridMultilevel"/>
    <w:tmpl w:val="38BE52FC"/>
    <w:lvl w:ilvl="0" w:tplc="036A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C9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6B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48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0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45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D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A1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E1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7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A33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04C"/>
    <w:rsid w:val="00034B6F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A24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43D"/>
    <w:rsid w:val="00080D95"/>
    <w:rsid w:val="00085733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9E7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AF3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7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1F8"/>
    <w:rsid w:val="001E655E"/>
    <w:rsid w:val="001F290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770"/>
    <w:rsid w:val="0021522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BB2"/>
    <w:rsid w:val="00267841"/>
    <w:rsid w:val="002710C3"/>
    <w:rsid w:val="002734D6"/>
    <w:rsid w:val="00274C45"/>
    <w:rsid w:val="00275109"/>
    <w:rsid w:val="00275BEE"/>
    <w:rsid w:val="00276A64"/>
    <w:rsid w:val="00277434"/>
    <w:rsid w:val="00280123"/>
    <w:rsid w:val="00281343"/>
    <w:rsid w:val="00281883"/>
    <w:rsid w:val="002864F5"/>
    <w:rsid w:val="002874E3"/>
    <w:rsid w:val="00287656"/>
    <w:rsid w:val="00291518"/>
    <w:rsid w:val="00296FF0"/>
    <w:rsid w:val="002A17C0"/>
    <w:rsid w:val="002A4095"/>
    <w:rsid w:val="002A48DF"/>
    <w:rsid w:val="002A5A84"/>
    <w:rsid w:val="002A6E6F"/>
    <w:rsid w:val="002A74E4"/>
    <w:rsid w:val="002A76BD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6ED"/>
    <w:rsid w:val="002D4F8F"/>
    <w:rsid w:val="002E21B8"/>
    <w:rsid w:val="002E2F4F"/>
    <w:rsid w:val="002E7DF9"/>
    <w:rsid w:val="002F097B"/>
    <w:rsid w:val="002F3111"/>
    <w:rsid w:val="002F4AEC"/>
    <w:rsid w:val="002F7338"/>
    <w:rsid w:val="002F795D"/>
    <w:rsid w:val="00300823"/>
    <w:rsid w:val="00300D7F"/>
    <w:rsid w:val="00301638"/>
    <w:rsid w:val="00301BA9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5F6"/>
    <w:rsid w:val="00392DA1"/>
    <w:rsid w:val="003930B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B68"/>
    <w:rsid w:val="003D726D"/>
    <w:rsid w:val="003E0875"/>
    <w:rsid w:val="003E0BB8"/>
    <w:rsid w:val="003E69CD"/>
    <w:rsid w:val="003E6CB0"/>
    <w:rsid w:val="003F1F5E"/>
    <w:rsid w:val="003F286A"/>
    <w:rsid w:val="003F77F8"/>
    <w:rsid w:val="00400ACD"/>
    <w:rsid w:val="00403B15"/>
    <w:rsid w:val="00403E8A"/>
    <w:rsid w:val="004040AD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571"/>
    <w:rsid w:val="00445700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345"/>
    <w:rsid w:val="0049682B"/>
    <w:rsid w:val="004973E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277"/>
    <w:rsid w:val="004D3F41"/>
    <w:rsid w:val="004D4AFF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5C5"/>
    <w:rsid w:val="005017AC"/>
    <w:rsid w:val="00501E8A"/>
    <w:rsid w:val="00505121"/>
    <w:rsid w:val="00505C04"/>
    <w:rsid w:val="00505F1B"/>
    <w:rsid w:val="005073E8"/>
    <w:rsid w:val="00507893"/>
    <w:rsid w:val="00510503"/>
    <w:rsid w:val="0051324D"/>
    <w:rsid w:val="00515466"/>
    <w:rsid w:val="005154F7"/>
    <w:rsid w:val="005159DE"/>
    <w:rsid w:val="005269CE"/>
    <w:rsid w:val="005304B2"/>
    <w:rsid w:val="00530E8D"/>
    <w:rsid w:val="005336BD"/>
    <w:rsid w:val="00534A49"/>
    <w:rsid w:val="00535E4D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5BFC"/>
    <w:rsid w:val="005A0E18"/>
    <w:rsid w:val="005A12A5"/>
    <w:rsid w:val="005A3326"/>
    <w:rsid w:val="005A3790"/>
    <w:rsid w:val="005A3CCB"/>
    <w:rsid w:val="005A6D13"/>
    <w:rsid w:val="005B031F"/>
    <w:rsid w:val="005B3298"/>
    <w:rsid w:val="005B46C6"/>
    <w:rsid w:val="005B5516"/>
    <w:rsid w:val="005B5D2B"/>
    <w:rsid w:val="005C1496"/>
    <w:rsid w:val="005C17C5"/>
    <w:rsid w:val="005C2B21"/>
    <w:rsid w:val="005C2C00"/>
    <w:rsid w:val="005C4C6F"/>
    <w:rsid w:val="005C5127"/>
    <w:rsid w:val="005C5AA8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9ED"/>
    <w:rsid w:val="006272DD"/>
    <w:rsid w:val="00630963"/>
    <w:rsid w:val="00631897"/>
    <w:rsid w:val="00632928"/>
    <w:rsid w:val="006330DA"/>
    <w:rsid w:val="00633262"/>
    <w:rsid w:val="00633460"/>
    <w:rsid w:val="00636E76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B7E"/>
    <w:rsid w:val="006A54D0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8E1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55E"/>
    <w:rsid w:val="007A0989"/>
    <w:rsid w:val="007A25F2"/>
    <w:rsid w:val="007A331F"/>
    <w:rsid w:val="007A3844"/>
    <w:rsid w:val="007A39E5"/>
    <w:rsid w:val="007A4381"/>
    <w:rsid w:val="007A5466"/>
    <w:rsid w:val="007A7EC1"/>
    <w:rsid w:val="007B4FCA"/>
    <w:rsid w:val="007B5B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0E48"/>
    <w:rsid w:val="00802243"/>
    <w:rsid w:val="008023D4"/>
    <w:rsid w:val="00802A29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A67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4E51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A81"/>
    <w:rsid w:val="00924EA9"/>
    <w:rsid w:val="00925CE1"/>
    <w:rsid w:val="00925F5C"/>
    <w:rsid w:val="00930897"/>
    <w:rsid w:val="009320D2"/>
    <w:rsid w:val="00932C77"/>
    <w:rsid w:val="00932D8F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F6C"/>
    <w:rsid w:val="0096482F"/>
    <w:rsid w:val="00964E3A"/>
    <w:rsid w:val="00967126"/>
    <w:rsid w:val="009705B8"/>
    <w:rsid w:val="00970EAE"/>
    <w:rsid w:val="00971627"/>
    <w:rsid w:val="00972797"/>
    <w:rsid w:val="0097279D"/>
    <w:rsid w:val="00976837"/>
    <w:rsid w:val="0098010F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386"/>
    <w:rsid w:val="0099403D"/>
    <w:rsid w:val="00995B0B"/>
    <w:rsid w:val="009A1883"/>
    <w:rsid w:val="009A379F"/>
    <w:rsid w:val="009A39F5"/>
    <w:rsid w:val="009A4588"/>
    <w:rsid w:val="009A5E15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298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F7A"/>
    <w:rsid w:val="00A932BB"/>
    <w:rsid w:val="00A93579"/>
    <w:rsid w:val="00A93934"/>
    <w:rsid w:val="00A95D51"/>
    <w:rsid w:val="00AA18AE"/>
    <w:rsid w:val="00AA228B"/>
    <w:rsid w:val="00AA30DD"/>
    <w:rsid w:val="00AA597A"/>
    <w:rsid w:val="00AA7E52"/>
    <w:rsid w:val="00AB1655"/>
    <w:rsid w:val="00AB1873"/>
    <w:rsid w:val="00AB1B5C"/>
    <w:rsid w:val="00AB2C05"/>
    <w:rsid w:val="00AB3536"/>
    <w:rsid w:val="00AB474B"/>
    <w:rsid w:val="00AB4D25"/>
    <w:rsid w:val="00AB5CCC"/>
    <w:rsid w:val="00AB74E2"/>
    <w:rsid w:val="00AC2E9A"/>
    <w:rsid w:val="00AC5AAB"/>
    <w:rsid w:val="00AC5AEC"/>
    <w:rsid w:val="00AC5F28"/>
    <w:rsid w:val="00AC6900"/>
    <w:rsid w:val="00AD17D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542"/>
    <w:rsid w:val="00AF48B4"/>
    <w:rsid w:val="00AF4923"/>
    <w:rsid w:val="00AF7C74"/>
    <w:rsid w:val="00B000AF"/>
    <w:rsid w:val="00B04E79"/>
    <w:rsid w:val="00B04F07"/>
    <w:rsid w:val="00B07488"/>
    <w:rsid w:val="00B075A2"/>
    <w:rsid w:val="00B10DD2"/>
    <w:rsid w:val="00B115DC"/>
    <w:rsid w:val="00B11690"/>
    <w:rsid w:val="00B11952"/>
    <w:rsid w:val="00B11CCA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DF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719"/>
    <w:rsid w:val="00B91AD7"/>
    <w:rsid w:val="00B92D23"/>
    <w:rsid w:val="00B94DEA"/>
    <w:rsid w:val="00B95BC8"/>
    <w:rsid w:val="00B96E87"/>
    <w:rsid w:val="00BA146A"/>
    <w:rsid w:val="00BA32EE"/>
    <w:rsid w:val="00BA4151"/>
    <w:rsid w:val="00BB032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6FE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5865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1A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2F7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44C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30D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64F"/>
    <w:rsid w:val="00D811E8"/>
    <w:rsid w:val="00D81A44"/>
    <w:rsid w:val="00D83072"/>
    <w:rsid w:val="00D83ABC"/>
    <w:rsid w:val="00D84870"/>
    <w:rsid w:val="00D91B92"/>
    <w:rsid w:val="00D926B3"/>
    <w:rsid w:val="00D92F63"/>
    <w:rsid w:val="00D9459F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A8D"/>
    <w:rsid w:val="00DE4CAF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B5D"/>
    <w:rsid w:val="00E21D55"/>
    <w:rsid w:val="00E21FDC"/>
    <w:rsid w:val="00E2551E"/>
    <w:rsid w:val="00E26B13"/>
    <w:rsid w:val="00E27E5A"/>
    <w:rsid w:val="00E31135"/>
    <w:rsid w:val="00E317BA"/>
    <w:rsid w:val="00E3469B"/>
    <w:rsid w:val="00E35D04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E87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037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982"/>
    <w:rsid w:val="00EB5373"/>
    <w:rsid w:val="00EC02A2"/>
    <w:rsid w:val="00EC358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3DB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0FAF"/>
    <w:rsid w:val="00F71C5A"/>
    <w:rsid w:val="00F733A4"/>
    <w:rsid w:val="00F7758F"/>
    <w:rsid w:val="00F82811"/>
    <w:rsid w:val="00F84153"/>
    <w:rsid w:val="00F85661"/>
    <w:rsid w:val="00F93B8A"/>
    <w:rsid w:val="00F96602"/>
    <w:rsid w:val="00F9735A"/>
    <w:rsid w:val="00FA32FC"/>
    <w:rsid w:val="00FA59FD"/>
    <w:rsid w:val="00FA5D8C"/>
    <w:rsid w:val="00FA6403"/>
    <w:rsid w:val="00FB16CD"/>
    <w:rsid w:val="00FB1D74"/>
    <w:rsid w:val="00FB73AE"/>
    <w:rsid w:val="00FC5388"/>
    <w:rsid w:val="00FC726C"/>
    <w:rsid w:val="00FD1B4B"/>
    <w:rsid w:val="00FD1B94"/>
    <w:rsid w:val="00FE19C5"/>
    <w:rsid w:val="00FE4286"/>
    <w:rsid w:val="00FE42D2"/>
    <w:rsid w:val="00FE48C3"/>
    <w:rsid w:val="00FE48D6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BCA90E-2441-4C37-B951-2106E75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1B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1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B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1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1B5D"/>
    <w:rPr>
      <w:b/>
      <w:bCs/>
    </w:rPr>
  </w:style>
  <w:style w:type="character" w:styleId="Hyperlink">
    <w:name w:val="Hyperlink"/>
    <w:basedOn w:val="DefaultParagraphFont"/>
    <w:unhideWhenUsed/>
    <w:rsid w:val="00932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4750</Characters>
  <Application>Microsoft Office Word</Application>
  <DocSecurity>4</DocSecurity>
  <Lines>101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SB01129 (Committee Report (Unamended))</vt:lpstr>
    </vt:vector>
  </TitlesOfParts>
  <Company>State of Texas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23474</dc:subject>
  <dc:creator>State of Texas</dc:creator>
  <dc:description>SB 1129 by Zaffirini-(H)Judiciary &amp; Civil Jurisprudence</dc:description>
  <cp:lastModifiedBy>Stacey Nicchio</cp:lastModifiedBy>
  <cp:revision>2</cp:revision>
  <cp:lastPrinted>2003-11-26T17:21:00Z</cp:lastPrinted>
  <dcterms:created xsi:type="dcterms:W3CDTF">2021-05-04T19:14:00Z</dcterms:created>
  <dcterms:modified xsi:type="dcterms:W3CDTF">2021-05-04T19:14:00Z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21.121.333</vt:lpwstr>
  </property>
</Properties>
</file>