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A1FCA" w14:paraId="6D22D2F5" w14:textId="77777777" w:rsidTr="00345119">
        <w:tc>
          <w:tcPr>
            <w:tcW w:w="9576" w:type="dxa"/>
            <w:noWrap/>
          </w:tcPr>
          <w:p w14:paraId="3DF14CF9" w14:textId="77777777" w:rsidR="008423E4" w:rsidRPr="0022177D" w:rsidRDefault="00AB6221" w:rsidP="008F021F">
            <w:pPr>
              <w:pStyle w:val="Heading1"/>
            </w:pPr>
            <w:bookmarkStart w:id="0" w:name="_GoBack"/>
            <w:bookmarkEnd w:id="0"/>
            <w:r w:rsidRPr="00631897">
              <w:t>BILL ANALYSIS</w:t>
            </w:r>
          </w:p>
        </w:tc>
      </w:tr>
    </w:tbl>
    <w:p w14:paraId="6C04046D" w14:textId="77777777" w:rsidR="008423E4" w:rsidRPr="0022177D" w:rsidRDefault="008423E4" w:rsidP="008F021F">
      <w:pPr>
        <w:jc w:val="center"/>
      </w:pPr>
    </w:p>
    <w:p w14:paraId="712ABA83" w14:textId="77777777" w:rsidR="008423E4" w:rsidRPr="00B31F0E" w:rsidRDefault="008423E4" w:rsidP="008F021F"/>
    <w:p w14:paraId="0F42299B" w14:textId="77777777" w:rsidR="008423E4" w:rsidRPr="00742794" w:rsidRDefault="008423E4" w:rsidP="008F021F">
      <w:pPr>
        <w:tabs>
          <w:tab w:val="right" w:pos="9360"/>
        </w:tabs>
      </w:pPr>
    </w:p>
    <w:tbl>
      <w:tblPr>
        <w:tblW w:w="0" w:type="auto"/>
        <w:tblLayout w:type="fixed"/>
        <w:tblLook w:val="01E0" w:firstRow="1" w:lastRow="1" w:firstColumn="1" w:lastColumn="1" w:noHBand="0" w:noVBand="0"/>
      </w:tblPr>
      <w:tblGrid>
        <w:gridCol w:w="9576"/>
      </w:tblGrid>
      <w:tr w:rsidR="00FA1FCA" w14:paraId="371BB500" w14:textId="77777777" w:rsidTr="00345119">
        <w:tc>
          <w:tcPr>
            <w:tcW w:w="9576" w:type="dxa"/>
          </w:tcPr>
          <w:p w14:paraId="7842D614" w14:textId="5866FDDC" w:rsidR="008423E4" w:rsidRPr="00861995" w:rsidRDefault="00AB6221" w:rsidP="008F021F">
            <w:pPr>
              <w:jc w:val="right"/>
            </w:pPr>
            <w:r>
              <w:t>C.S.S.B. 1281</w:t>
            </w:r>
          </w:p>
        </w:tc>
      </w:tr>
      <w:tr w:rsidR="00FA1FCA" w14:paraId="1CF6EA31" w14:textId="77777777" w:rsidTr="00345119">
        <w:tc>
          <w:tcPr>
            <w:tcW w:w="9576" w:type="dxa"/>
          </w:tcPr>
          <w:p w14:paraId="3CFBA508" w14:textId="4A638A77" w:rsidR="008423E4" w:rsidRPr="00861995" w:rsidRDefault="00AB6221" w:rsidP="00D34F1A">
            <w:pPr>
              <w:jc w:val="right"/>
            </w:pPr>
            <w:r>
              <w:t xml:space="preserve">By: </w:t>
            </w:r>
            <w:r w:rsidR="00D34F1A">
              <w:t>Hancock</w:t>
            </w:r>
          </w:p>
        </w:tc>
      </w:tr>
      <w:tr w:rsidR="00FA1FCA" w14:paraId="0BCED561" w14:textId="77777777" w:rsidTr="00345119">
        <w:tc>
          <w:tcPr>
            <w:tcW w:w="9576" w:type="dxa"/>
          </w:tcPr>
          <w:p w14:paraId="47831BD0" w14:textId="478FA19A" w:rsidR="008423E4" w:rsidRPr="00861995" w:rsidRDefault="00AB6221" w:rsidP="008F021F">
            <w:pPr>
              <w:jc w:val="right"/>
            </w:pPr>
            <w:r>
              <w:t>State Affairs</w:t>
            </w:r>
          </w:p>
        </w:tc>
      </w:tr>
      <w:tr w:rsidR="00FA1FCA" w14:paraId="6375BD52" w14:textId="77777777" w:rsidTr="00345119">
        <w:tc>
          <w:tcPr>
            <w:tcW w:w="9576" w:type="dxa"/>
          </w:tcPr>
          <w:p w14:paraId="18DCA369" w14:textId="2DF203C3" w:rsidR="008423E4" w:rsidRDefault="00AB6221" w:rsidP="008F021F">
            <w:pPr>
              <w:jc w:val="right"/>
            </w:pPr>
            <w:r>
              <w:t>Committee Report (Substituted)</w:t>
            </w:r>
          </w:p>
        </w:tc>
      </w:tr>
    </w:tbl>
    <w:p w14:paraId="36ECEC40" w14:textId="77777777" w:rsidR="008423E4" w:rsidRDefault="008423E4" w:rsidP="008F021F">
      <w:pPr>
        <w:tabs>
          <w:tab w:val="right" w:pos="9360"/>
        </w:tabs>
      </w:pPr>
    </w:p>
    <w:p w14:paraId="3A301796" w14:textId="77777777" w:rsidR="008423E4" w:rsidRDefault="008423E4" w:rsidP="008F021F"/>
    <w:p w14:paraId="6205A224" w14:textId="77777777" w:rsidR="008423E4" w:rsidRDefault="008423E4" w:rsidP="008F021F"/>
    <w:tbl>
      <w:tblPr>
        <w:tblW w:w="0" w:type="auto"/>
        <w:tblCellMar>
          <w:left w:w="115" w:type="dxa"/>
          <w:right w:w="115" w:type="dxa"/>
        </w:tblCellMar>
        <w:tblLook w:val="01E0" w:firstRow="1" w:lastRow="1" w:firstColumn="1" w:lastColumn="1" w:noHBand="0" w:noVBand="0"/>
      </w:tblPr>
      <w:tblGrid>
        <w:gridCol w:w="9360"/>
      </w:tblGrid>
      <w:tr w:rsidR="00FA1FCA" w14:paraId="43D9B33D" w14:textId="77777777" w:rsidTr="00BC3B7D">
        <w:tc>
          <w:tcPr>
            <w:tcW w:w="9360" w:type="dxa"/>
          </w:tcPr>
          <w:p w14:paraId="0D2A3851" w14:textId="77777777" w:rsidR="008423E4" w:rsidRPr="00A8133F" w:rsidRDefault="00AB6221" w:rsidP="008F021F">
            <w:pPr>
              <w:rPr>
                <w:b/>
              </w:rPr>
            </w:pPr>
            <w:r w:rsidRPr="009C1E9A">
              <w:rPr>
                <w:b/>
                <w:u w:val="single"/>
              </w:rPr>
              <w:t>BACKGROUND AND PURPOSE</w:t>
            </w:r>
            <w:r>
              <w:rPr>
                <w:b/>
              </w:rPr>
              <w:t xml:space="preserve"> </w:t>
            </w:r>
          </w:p>
          <w:p w14:paraId="27BF2ADB" w14:textId="77777777" w:rsidR="008423E4" w:rsidRDefault="008423E4" w:rsidP="008F021F"/>
          <w:p w14:paraId="6BDBEC92" w14:textId="78D35B46" w:rsidR="008423E4" w:rsidRDefault="00AB6221" w:rsidP="008F021F">
            <w:pPr>
              <w:pStyle w:val="Header"/>
              <w:jc w:val="both"/>
            </w:pPr>
            <w:r>
              <w:t xml:space="preserve">In the Electric Reliability Council of Texas (ERCOT), customers pay for all electric transmission facilities. Generators in ERCOT do not pay for any transmission costs, nor do any other market participants. However, the current </w:t>
            </w:r>
            <w:r w:rsidR="000762DA">
              <w:t xml:space="preserve">economic </w:t>
            </w:r>
            <w:r>
              <w:t>transmission planni</w:t>
            </w:r>
            <w:r>
              <w:t>ng test</w:t>
            </w:r>
            <w:r w:rsidR="000762DA">
              <w:t xml:space="preserve"> fails to accurately measure whether</w:t>
            </w:r>
            <w:r>
              <w:t xml:space="preserve"> a transmission project will save customers more money </w:t>
            </w:r>
            <w:r w:rsidR="000762DA">
              <w:t xml:space="preserve">in congestion costs </w:t>
            </w:r>
            <w:r>
              <w:t xml:space="preserve">than </w:t>
            </w:r>
            <w:r w:rsidR="000762DA">
              <w:t xml:space="preserve">the </w:t>
            </w:r>
            <w:r>
              <w:t>costs</w:t>
            </w:r>
            <w:r w:rsidR="000762DA">
              <w:t xml:space="preserve"> of the project</w:t>
            </w:r>
            <w:r>
              <w:t xml:space="preserve">. When a region of </w:t>
            </w:r>
            <w:r w:rsidR="0095699B">
              <w:t>Texas</w:t>
            </w:r>
            <w:r>
              <w:t xml:space="preserve"> has limited transmission access, </w:t>
            </w:r>
            <w:r w:rsidR="00CE5D45">
              <w:t xml:space="preserve">customers experience high </w:t>
            </w:r>
            <w:r>
              <w:t>prices known as congestio</w:t>
            </w:r>
            <w:r>
              <w:t xml:space="preserve">n costs. Congestion costs </w:t>
            </w:r>
            <w:r w:rsidR="00CE5D45">
              <w:t xml:space="preserve">occur </w:t>
            </w:r>
            <w:r>
              <w:t xml:space="preserve">when only close-proximity generators are able to deliver power to customers in a particular area. Lower-cost generators in other areas of </w:t>
            </w:r>
            <w:r w:rsidR="0095699B">
              <w:t>Texas</w:t>
            </w:r>
            <w:r>
              <w:t xml:space="preserve"> could serve those customers, with additional transmission access, but there are </w:t>
            </w:r>
            <w:r>
              <w:t xml:space="preserve">not enough lines to serve the load. The </w:t>
            </w:r>
            <w:r w:rsidR="000762DA">
              <w:t xml:space="preserve">existing </w:t>
            </w:r>
            <w:r>
              <w:t xml:space="preserve">economic planning test for transmission in ERCOT measures </w:t>
            </w:r>
            <w:r w:rsidR="00ED0C5B">
              <w:t xml:space="preserve">savings in </w:t>
            </w:r>
            <w:r>
              <w:t>production cost</w:t>
            </w:r>
            <w:r w:rsidR="00ED0C5B">
              <w:t>s, which</w:t>
            </w:r>
            <w:r>
              <w:t xml:space="preserve"> are the actual fuel costs</w:t>
            </w:r>
            <w:r w:rsidR="0095699B">
              <w:t xml:space="preserve"> required for generators to run</w:t>
            </w:r>
            <w:r w:rsidR="00ED0C5B">
              <w:t xml:space="preserve"> and</w:t>
            </w:r>
            <w:r>
              <w:t xml:space="preserve"> are not the same as the market clearing price. </w:t>
            </w:r>
            <w:r w:rsidR="0095699B">
              <w:t>It has been suggested that t</w:t>
            </w:r>
            <w:r>
              <w:t>his sort of test does not make sense in ERCOT since customers do not pay fuel or production costs directly</w:t>
            </w:r>
            <w:r w:rsidR="0095699B">
              <w:t xml:space="preserve">, </w:t>
            </w:r>
            <w:r w:rsidR="00ED0C5B">
              <w:t xml:space="preserve">but </w:t>
            </w:r>
            <w:r>
              <w:t>pay the market clearing price. A test to identify a transmission project that saves customers more than it costs existed r</w:t>
            </w:r>
            <w:r>
              <w:t>oughly a decade ago, known as the "consumer impact test," but it was eliminated by</w:t>
            </w:r>
            <w:r w:rsidR="00723E74">
              <w:t xml:space="preserve"> Public Utility Commission of Texas</w:t>
            </w:r>
            <w:r>
              <w:t xml:space="preserve"> rule in 2011. </w:t>
            </w:r>
            <w:r w:rsidR="00F1543A">
              <w:t xml:space="preserve">This bill </w:t>
            </w:r>
            <w:r w:rsidR="00B864DD">
              <w:t xml:space="preserve">is </w:t>
            </w:r>
            <w:r w:rsidR="00F1543A">
              <w:t xml:space="preserve">intended to address these concerns and improve the planning process for both economic and reliability projects to improve service to customers. </w:t>
            </w:r>
            <w:r w:rsidR="00723E74">
              <w:t>C.S.</w:t>
            </w:r>
            <w:r>
              <w:t xml:space="preserve">S.B. 1281 </w:t>
            </w:r>
            <w:r w:rsidR="00723E74">
              <w:t xml:space="preserve">seeks to </w:t>
            </w:r>
            <w:r>
              <w:t>reduce costs and improve reliability</w:t>
            </w:r>
            <w:r w:rsidR="00723E74">
              <w:t xml:space="preserve"> by</w:t>
            </w:r>
            <w:r w:rsidR="00C42951">
              <w:t xml:space="preserve"> providing for a reliability assessment of the ERCOT power grid and revising provisions relating to</w:t>
            </w:r>
            <w:r>
              <w:t xml:space="preserve"> </w:t>
            </w:r>
            <w:r w:rsidR="00723E74" w:rsidRPr="00723E74">
              <w:t>certificate</w:t>
            </w:r>
            <w:r w:rsidR="00C42951">
              <w:t>s</w:t>
            </w:r>
            <w:r w:rsidR="00723E74" w:rsidRPr="00723E74">
              <w:t xml:space="preserve"> of public convenience and necessity for </w:t>
            </w:r>
            <w:r w:rsidR="00C42951">
              <w:t>certain</w:t>
            </w:r>
            <w:r w:rsidR="00723E74" w:rsidRPr="00723E74">
              <w:t xml:space="preserve"> transmission project</w:t>
            </w:r>
            <w:r w:rsidR="00C42951">
              <w:t>s</w:t>
            </w:r>
            <w:r>
              <w:t>.</w:t>
            </w:r>
            <w:r w:rsidR="000762DA">
              <w:t xml:space="preserve"> </w:t>
            </w:r>
            <w:r w:rsidR="001174B8">
              <w:t xml:space="preserve">C.S.S.B. 1281 </w:t>
            </w:r>
            <w:r w:rsidR="000762DA">
              <w:t xml:space="preserve">also seeks to improve </w:t>
            </w:r>
            <w:r w:rsidR="001174B8" w:rsidRPr="001174B8">
              <w:t>the transmission planning process for reliability projects by requiring the independent organization to consider a broader range of load forecasts and potential renewable generation scenarios, and to conduct an annual grid assessment of reliability under extreme weather conditions.  The bill also exempts transmission projects that are under three miles, where a route has been agreed upon, and where all right-of-way has been purchased, from lengthy permitting processes that can delay service extensions</w:t>
            </w:r>
            <w:r w:rsidR="001174B8">
              <w:t xml:space="preserve"> with the goal of ensuring</w:t>
            </w:r>
            <w:r w:rsidR="001174B8" w:rsidRPr="001174B8">
              <w:t xml:space="preserve"> that transmission is built to </w:t>
            </w:r>
            <w:r w:rsidR="001174B8">
              <w:t>provide</w:t>
            </w:r>
            <w:r w:rsidR="001174B8" w:rsidRPr="001174B8">
              <w:t xml:space="preserve"> reliability to c</w:t>
            </w:r>
            <w:r w:rsidR="001174B8">
              <w:t>ustomers on a more timely basis</w:t>
            </w:r>
            <w:r w:rsidR="001174B8" w:rsidRPr="001174B8">
              <w:t xml:space="preserve"> and under a reasonable range of potential scenarios</w:t>
            </w:r>
            <w:r w:rsidR="001174B8">
              <w:t>.</w:t>
            </w:r>
          </w:p>
          <w:p w14:paraId="6F0F9526" w14:textId="77777777" w:rsidR="008423E4" w:rsidRPr="00E26B13" w:rsidRDefault="008423E4" w:rsidP="008F021F">
            <w:pPr>
              <w:rPr>
                <w:b/>
              </w:rPr>
            </w:pPr>
          </w:p>
        </w:tc>
      </w:tr>
      <w:tr w:rsidR="00FA1FCA" w14:paraId="2F97CCE5" w14:textId="77777777" w:rsidTr="00BC3B7D">
        <w:tc>
          <w:tcPr>
            <w:tcW w:w="9360" w:type="dxa"/>
          </w:tcPr>
          <w:p w14:paraId="11BDFC50" w14:textId="77777777" w:rsidR="0017725B" w:rsidRDefault="00AB6221" w:rsidP="008F021F">
            <w:pPr>
              <w:rPr>
                <w:b/>
                <w:u w:val="single"/>
              </w:rPr>
            </w:pPr>
            <w:r>
              <w:rPr>
                <w:b/>
                <w:u w:val="single"/>
              </w:rPr>
              <w:t>CRIMINAL JUSTICE IMPACT</w:t>
            </w:r>
          </w:p>
          <w:p w14:paraId="408531AD" w14:textId="77777777" w:rsidR="0017725B" w:rsidRDefault="0017725B" w:rsidP="008F021F">
            <w:pPr>
              <w:rPr>
                <w:b/>
                <w:u w:val="single"/>
              </w:rPr>
            </w:pPr>
          </w:p>
          <w:p w14:paraId="50CF7E8E" w14:textId="77777777" w:rsidR="00B01490" w:rsidRPr="00B01490" w:rsidRDefault="00AB6221" w:rsidP="008F021F">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14:paraId="4336FD14" w14:textId="77777777" w:rsidR="0017725B" w:rsidRPr="0017725B" w:rsidRDefault="0017725B" w:rsidP="008F021F">
            <w:pPr>
              <w:rPr>
                <w:b/>
                <w:u w:val="single"/>
              </w:rPr>
            </w:pPr>
          </w:p>
        </w:tc>
      </w:tr>
      <w:tr w:rsidR="00FA1FCA" w14:paraId="508C886B" w14:textId="77777777" w:rsidTr="00BC3B7D">
        <w:tc>
          <w:tcPr>
            <w:tcW w:w="9360" w:type="dxa"/>
          </w:tcPr>
          <w:p w14:paraId="6D9C44DB" w14:textId="77777777" w:rsidR="008423E4" w:rsidRPr="00A8133F" w:rsidRDefault="00AB6221" w:rsidP="008F021F">
            <w:pPr>
              <w:rPr>
                <w:b/>
              </w:rPr>
            </w:pPr>
            <w:r w:rsidRPr="009C1E9A">
              <w:rPr>
                <w:b/>
                <w:u w:val="single"/>
              </w:rPr>
              <w:t>RULEMAKING AUTHORITY</w:t>
            </w:r>
            <w:r>
              <w:rPr>
                <w:b/>
              </w:rPr>
              <w:t xml:space="preserve"> </w:t>
            </w:r>
          </w:p>
          <w:p w14:paraId="1F0A7355" w14:textId="77777777" w:rsidR="008423E4" w:rsidRDefault="008423E4" w:rsidP="008F021F"/>
          <w:p w14:paraId="6EF73B66" w14:textId="77777777" w:rsidR="00B01490" w:rsidRDefault="00AB6221" w:rsidP="008F021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DAEA8C0" w14:textId="77777777" w:rsidR="008423E4" w:rsidRPr="00E21FDC" w:rsidRDefault="008423E4" w:rsidP="008F021F">
            <w:pPr>
              <w:rPr>
                <w:b/>
              </w:rPr>
            </w:pPr>
          </w:p>
        </w:tc>
      </w:tr>
      <w:tr w:rsidR="00FA1FCA" w14:paraId="4B1F4CBF" w14:textId="77777777" w:rsidTr="00BC3B7D">
        <w:tc>
          <w:tcPr>
            <w:tcW w:w="9360" w:type="dxa"/>
          </w:tcPr>
          <w:p w14:paraId="3A5A5354" w14:textId="77777777" w:rsidR="008423E4" w:rsidRPr="00A8133F" w:rsidRDefault="00AB6221" w:rsidP="008F021F">
            <w:pPr>
              <w:rPr>
                <w:b/>
              </w:rPr>
            </w:pPr>
            <w:r w:rsidRPr="009C1E9A">
              <w:rPr>
                <w:b/>
                <w:u w:val="single"/>
              </w:rPr>
              <w:t>ANALYSIS</w:t>
            </w:r>
            <w:r>
              <w:rPr>
                <w:b/>
              </w:rPr>
              <w:t xml:space="preserve"> </w:t>
            </w:r>
          </w:p>
          <w:p w14:paraId="363B8AEB" w14:textId="77777777" w:rsidR="008423E4" w:rsidRDefault="008423E4" w:rsidP="008F021F"/>
          <w:p w14:paraId="254D2533" w14:textId="77777777" w:rsidR="005A5AD0" w:rsidRDefault="00AB6221" w:rsidP="008F021F">
            <w:pPr>
              <w:pStyle w:val="Header"/>
              <w:jc w:val="both"/>
            </w:pPr>
            <w:r>
              <w:t>C.S.S.B. 1281 amends the Utilities Code to establish that an electric utility is not required to amend the utility's certificate of public convenience and necessity to construct a transmission line that connects the utility's existing transmission faciliti</w:t>
            </w:r>
            <w:r>
              <w:t>es to a load-serving substation or metering point under the following conditions:</w:t>
            </w:r>
          </w:p>
          <w:p w14:paraId="1B98E87A" w14:textId="77777777" w:rsidR="005A5AD0" w:rsidRDefault="00AB6221" w:rsidP="008F021F">
            <w:pPr>
              <w:pStyle w:val="Header"/>
              <w:numPr>
                <w:ilvl w:val="0"/>
                <w:numId w:val="1"/>
              </w:numPr>
              <w:jc w:val="both"/>
            </w:pPr>
            <w:r>
              <w:t>the transmission line does not exceed three miles in length;</w:t>
            </w:r>
          </w:p>
          <w:p w14:paraId="541B46B8" w14:textId="77777777" w:rsidR="005A5AD0" w:rsidRDefault="00AB6221" w:rsidP="008F021F">
            <w:pPr>
              <w:pStyle w:val="Header"/>
              <w:numPr>
                <w:ilvl w:val="0"/>
                <w:numId w:val="1"/>
              </w:numPr>
              <w:jc w:val="both"/>
            </w:pPr>
            <w:r>
              <w:t xml:space="preserve">each landowner whose property would be directly affected by the transmission line, as provided by </w:t>
            </w:r>
            <w:r w:rsidR="00EA7C0E">
              <w:t xml:space="preserve">rules of the </w:t>
            </w:r>
            <w:r w:rsidRPr="005A5AD0">
              <w:t>Pu</w:t>
            </w:r>
            <w:r w:rsidRPr="005A5AD0">
              <w:t>blic Utility Commission of Texas</w:t>
            </w:r>
            <w:r w:rsidR="00EA7C0E">
              <w:t xml:space="preserve"> (PUC)</w:t>
            </w:r>
            <w:r>
              <w:t>, provides written consent for the transmission line; and</w:t>
            </w:r>
          </w:p>
          <w:p w14:paraId="3574D5BD" w14:textId="77777777" w:rsidR="009C36CD" w:rsidRDefault="00AB6221" w:rsidP="008F021F">
            <w:pPr>
              <w:pStyle w:val="Header"/>
              <w:numPr>
                <w:ilvl w:val="0"/>
                <w:numId w:val="1"/>
              </w:numPr>
              <w:jc w:val="both"/>
            </w:pPr>
            <w:r>
              <w:t>all rights-of-way necessary for construction of the transmission line have been purchased.</w:t>
            </w:r>
          </w:p>
          <w:p w14:paraId="5E3885C8" w14:textId="77777777" w:rsidR="00EA7C0E" w:rsidRDefault="00EA7C0E" w:rsidP="008F021F">
            <w:pPr>
              <w:pStyle w:val="Header"/>
              <w:jc w:val="both"/>
            </w:pPr>
          </w:p>
          <w:p w14:paraId="3971267E" w14:textId="77777777" w:rsidR="00EA7C0E" w:rsidRDefault="00AB6221" w:rsidP="008F021F">
            <w:pPr>
              <w:pStyle w:val="Header"/>
              <w:jc w:val="both"/>
            </w:pPr>
            <w:r>
              <w:t>C.S.S.B. 1281 requires the PUC, in c</w:t>
            </w:r>
            <w:r w:rsidRPr="00EA7C0E">
              <w:t xml:space="preserve">onsidering the need for </w:t>
            </w:r>
            <w:r w:rsidRPr="00EA7C0E">
              <w:t>additional service</w:t>
            </w:r>
            <w:r>
              <w:t xml:space="preserve"> when granting a certificate of </w:t>
            </w:r>
            <w:r w:rsidR="00B86BDD">
              <w:t xml:space="preserve">public </w:t>
            </w:r>
            <w:r>
              <w:t>convenience and necessity</w:t>
            </w:r>
            <w:r w:rsidRPr="00EA7C0E">
              <w:t xml:space="preserve"> for a reliability transmission project that serves the ERCOT power region,</w:t>
            </w:r>
            <w:r>
              <w:t xml:space="preserve"> to</w:t>
            </w:r>
            <w:r w:rsidR="008C2572">
              <w:t xml:space="preserve"> consider the following:</w:t>
            </w:r>
          </w:p>
          <w:p w14:paraId="44DE8BA3" w14:textId="77777777" w:rsidR="008C2572" w:rsidRDefault="00AB6221" w:rsidP="008F021F">
            <w:pPr>
              <w:pStyle w:val="Header"/>
              <w:numPr>
                <w:ilvl w:val="0"/>
                <w:numId w:val="2"/>
              </w:numPr>
              <w:jc w:val="both"/>
            </w:pPr>
            <w:r w:rsidRPr="008C2572">
              <w:t xml:space="preserve">historical load, forecasted load growth, and additional load currently </w:t>
            </w:r>
            <w:r w:rsidRPr="008C2572">
              <w:t>seeking interconnection; and</w:t>
            </w:r>
          </w:p>
          <w:p w14:paraId="289FBA38" w14:textId="77777777" w:rsidR="008C2572" w:rsidRDefault="00AB6221" w:rsidP="008F021F">
            <w:pPr>
              <w:pStyle w:val="Header"/>
              <w:numPr>
                <w:ilvl w:val="0"/>
                <w:numId w:val="2"/>
              </w:numPr>
              <w:jc w:val="both"/>
            </w:pPr>
            <w:r w:rsidRPr="008C2572">
              <w:t>security constrained optimal power flows for a reasonable range of power generation dispatch scenarios, including reliability limitations in serving load during high and low renewable generation output.</w:t>
            </w:r>
          </w:p>
          <w:p w14:paraId="12B7AD32" w14:textId="4B0F8A58" w:rsidR="008C2572" w:rsidRDefault="00AB6221" w:rsidP="008F021F">
            <w:pPr>
              <w:pStyle w:val="Header"/>
              <w:jc w:val="both"/>
            </w:pPr>
            <w:r>
              <w:t>The bill specifies that</w:t>
            </w:r>
            <w:r w:rsidR="007B05D6">
              <w:t xml:space="preserve"> the comparison </w:t>
            </w:r>
            <w:r w:rsidR="003B58CC">
              <w:t xml:space="preserve">of the estimated cost of a transmission project </w:t>
            </w:r>
            <w:r w:rsidR="007B05D6">
              <w:t>and cost savings</w:t>
            </w:r>
            <w:r w:rsidR="003B58CC">
              <w:t xml:space="preserve"> that may result from the project</w:t>
            </w:r>
            <w:r w:rsidR="007B05D6">
              <w:t xml:space="preserve"> that</w:t>
            </w:r>
            <w:r w:rsidR="003B58CC">
              <w:t xml:space="preserve"> must be included in</w:t>
            </w:r>
            <w:r w:rsidR="007B05D6">
              <w:t xml:space="preserve"> the </w:t>
            </w:r>
            <w:r w:rsidR="003B58CC">
              <w:t xml:space="preserve">PUC </w:t>
            </w:r>
            <w:r w:rsidR="007B05D6">
              <w:t xml:space="preserve">criteria for granting a certificate for </w:t>
            </w:r>
            <w:r w:rsidR="002A7687">
              <w:t>a</w:t>
            </w:r>
            <w:r w:rsidR="007B05D6">
              <w:t xml:space="preserve"> transmission project that serves the ERCOT power region, that is not necessary to meet state or federal reliability standards, and that is not included in a plan </w:t>
            </w:r>
            <w:r w:rsidR="002A7687">
              <w:t>for</w:t>
            </w:r>
            <w:r w:rsidR="007B05D6">
              <w:t xml:space="preserve"> </w:t>
            </w:r>
            <w:r w:rsidR="002A7687">
              <w:t xml:space="preserve">constructing </w:t>
            </w:r>
            <w:r w:rsidR="007B05D6">
              <w:t>transmission capacity necessary to deliver electric output</w:t>
            </w:r>
            <w:r w:rsidR="002A7687">
              <w:t xml:space="preserve"> to customers</w:t>
            </w:r>
            <w:r w:rsidR="007B05D6">
              <w:t xml:space="preserve"> from renewable energy technologies in the competitive renewable energy zones is </w:t>
            </w:r>
            <w:r w:rsidR="003D4E34">
              <w:t xml:space="preserve">a comparison </w:t>
            </w:r>
            <w:r w:rsidR="003B58CC">
              <w:t>of the estimated cost</w:t>
            </w:r>
            <w:r w:rsidR="00744332">
              <w:t xml:space="preserve"> for con</w:t>
            </w:r>
            <w:r w:rsidR="00B86BDD">
              <w:t xml:space="preserve">sumers and the estimated </w:t>
            </w:r>
            <w:r w:rsidR="003B58CC">
              <w:t xml:space="preserve">congestion </w:t>
            </w:r>
            <w:r w:rsidR="00B86BDD">
              <w:t>co</w:t>
            </w:r>
            <w:r w:rsidR="00744332">
              <w:t xml:space="preserve">st savings </w:t>
            </w:r>
            <w:r w:rsidR="003B58CC">
              <w:t>for consumers</w:t>
            </w:r>
            <w:r w:rsidR="00744332">
              <w:t>. The bill</w:t>
            </w:r>
            <w:r w:rsidR="003B58CC">
              <w:t xml:space="preserve"> further</w:t>
            </w:r>
            <w:r w:rsidR="00744332">
              <w:t xml:space="preserve"> specifies that </w:t>
            </w:r>
            <w:r w:rsidR="003B58CC">
              <w:t xml:space="preserve">this </w:t>
            </w:r>
            <w:r w:rsidR="00744332">
              <w:t xml:space="preserve">comparison </w:t>
            </w:r>
            <w:r w:rsidR="003B58CC">
              <w:t>is considering</w:t>
            </w:r>
            <w:r w:rsidR="003D4E34">
              <w:t xml:space="preserve"> </w:t>
            </w:r>
            <w:r w:rsidR="003D4E34" w:rsidRPr="003D4E34">
              <w:t>both current and future expected congestion levels and the transmission project's ability to reduce those congestion levels.</w:t>
            </w:r>
            <w:r w:rsidR="003D4E34">
              <w:t xml:space="preserve"> </w:t>
            </w:r>
          </w:p>
          <w:p w14:paraId="2B7C0925" w14:textId="77777777" w:rsidR="003D4E34" w:rsidRDefault="003D4E34" w:rsidP="008F021F">
            <w:pPr>
              <w:pStyle w:val="Header"/>
              <w:jc w:val="both"/>
            </w:pPr>
          </w:p>
          <w:p w14:paraId="507789D6" w14:textId="17CC4C9D" w:rsidR="003D4E34" w:rsidRPr="009C36CD" w:rsidRDefault="00AB6221" w:rsidP="008F021F">
            <w:pPr>
              <w:pStyle w:val="Header"/>
              <w:jc w:val="both"/>
            </w:pPr>
            <w:r>
              <w:t xml:space="preserve">C.S.S.B. 1281 </w:t>
            </w:r>
            <w:r w:rsidR="00B86BDD">
              <w:t xml:space="preserve">requires </w:t>
            </w:r>
            <w:r w:rsidR="005A3426">
              <w:t>the</w:t>
            </w:r>
            <w:r w:rsidR="00B86BDD">
              <w:t xml:space="preserve"> independent organization certified to</w:t>
            </w:r>
            <w:r w:rsidR="00D02088">
              <w:t xml:space="preserve"> perform certain essential market functions</w:t>
            </w:r>
            <w:r w:rsidR="00B86BDD">
              <w:t xml:space="preserve"> </w:t>
            </w:r>
            <w:r w:rsidR="00B01490">
              <w:t xml:space="preserve">for </w:t>
            </w:r>
            <w:r w:rsidR="005F0573">
              <w:t>the</w:t>
            </w:r>
            <w:r w:rsidR="00B01490">
              <w:t xml:space="preserve"> ERCOT power region to</w:t>
            </w:r>
            <w:r w:rsidR="00B86BDD">
              <w:t xml:space="preserve"> conduct an annual assessment of the ERCOT power grid to assess the grid's reliability in extreme weather scenarios.</w:t>
            </w:r>
            <w:r w:rsidR="00B01490">
              <w:t xml:space="preserve"> </w:t>
            </w:r>
            <w:r w:rsidR="005F0573">
              <w:t>E</w:t>
            </w:r>
            <w:r w:rsidR="00B01490">
              <w:t xml:space="preserve">ach assessment </w:t>
            </w:r>
            <w:r w:rsidR="005F0573">
              <w:t>must</w:t>
            </w:r>
            <w:r w:rsidR="00B01490">
              <w:t xml:space="preserve"> </w:t>
            </w:r>
            <w:r w:rsidR="00B86BDD">
              <w:t>consider the impact of different levels of thermal and re</w:t>
            </w:r>
            <w:r w:rsidR="00B01490">
              <w:t>newable generation availability</w:t>
            </w:r>
            <w:r w:rsidR="00B86BDD">
              <w:t xml:space="preserve"> and recommend transmission projects that may increase the grid's reliability in extreme weather scenarios.</w:t>
            </w:r>
            <w:r w:rsidR="00B01490">
              <w:t xml:space="preserve"> </w:t>
            </w:r>
          </w:p>
          <w:p w14:paraId="14EFB5D4" w14:textId="77777777" w:rsidR="008423E4" w:rsidRPr="00835628" w:rsidRDefault="008423E4" w:rsidP="008F021F">
            <w:pPr>
              <w:rPr>
                <w:b/>
              </w:rPr>
            </w:pPr>
          </w:p>
        </w:tc>
      </w:tr>
      <w:tr w:rsidR="00FA1FCA" w14:paraId="17CCC17B" w14:textId="77777777" w:rsidTr="00BC3B7D">
        <w:tc>
          <w:tcPr>
            <w:tcW w:w="9360" w:type="dxa"/>
          </w:tcPr>
          <w:p w14:paraId="0AD02736" w14:textId="77777777" w:rsidR="008423E4" w:rsidRPr="00A8133F" w:rsidRDefault="00AB6221" w:rsidP="008F021F">
            <w:pPr>
              <w:rPr>
                <w:b/>
              </w:rPr>
            </w:pPr>
            <w:r w:rsidRPr="009C1E9A">
              <w:rPr>
                <w:b/>
                <w:u w:val="single"/>
              </w:rPr>
              <w:t>EFFECTIVE DATE</w:t>
            </w:r>
            <w:r>
              <w:rPr>
                <w:b/>
              </w:rPr>
              <w:t xml:space="preserve"> </w:t>
            </w:r>
          </w:p>
          <w:p w14:paraId="6E7D04B4" w14:textId="77777777" w:rsidR="008423E4" w:rsidRDefault="008423E4" w:rsidP="008F021F"/>
          <w:p w14:paraId="4D2A4F2C" w14:textId="77777777" w:rsidR="008423E4" w:rsidRPr="003624F2" w:rsidRDefault="00AB6221" w:rsidP="008F021F">
            <w:pPr>
              <w:pStyle w:val="Header"/>
              <w:tabs>
                <w:tab w:val="clear" w:pos="4320"/>
                <w:tab w:val="clear" w:pos="8640"/>
              </w:tabs>
              <w:jc w:val="both"/>
            </w:pPr>
            <w:r>
              <w:t>September 1, 2021.</w:t>
            </w:r>
          </w:p>
          <w:p w14:paraId="6B2C2678" w14:textId="77777777" w:rsidR="008423E4" w:rsidRPr="00233FDB" w:rsidRDefault="008423E4" w:rsidP="008F021F">
            <w:pPr>
              <w:rPr>
                <w:b/>
              </w:rPr>
            </w:pPr>
          </w:p>
        </w:tc>
      </w:tr>
      <w:tr w:rsidR="00FA1FCA" w14:paraId="5A78741E" w14:textId="77777777" w:rsidTr="00BC3B7D">
        <w:tc>
          <w:tcPr>
            <w:tcW w:w="9360" w:type="dxa"/>
          </w:tcPr>
          <w:p w14:paraId="5A8F4120" w14:textId="77777777" w:rsidR="00D34F1A" w:rsidRDefault="00AB6221" w:rsidP="00D34F1A">
            <w:pPr>
              <w:jc w:val="both"/>
              <w:rPr>
                <w:b/>
                <w:u w:val="single"/>
              </w:rPr>
            </w:pPr>
            <w:r>
              <w:rPr>
                <w:b/>
                <w:u w:val="single"/>
              </w:rPr>
              <w:t>COMPARISON OF SENATE ENGROSSED AND SUBSTITUTE</w:t>
            </w:r>
          </w:p>
          <w:p w14:paraId="783FAC02" w14:textId="77777777" w:rsidR="00B01490" w:rsidRDefault="00B01490" w:rsidP="00D34F1A">
            <w:pPr>
              <w:jc w:val="both"/>
              <w:rPr>
                <w:b/>
                <w:u w:val="single"/>
              </w:rPr>
            </w:pPr>
          </w:p>
          <w:p w14:paraId="772EA57D" w14:textId="77777777" w:rsidR="00BC3B7D" w:rsidRDefault="00AB6221" w:rsidP="00BC3B7D">
            <w:pPr>
              <w:jc w:val="both"/>
            </w:pPr>
            <w:r>
              <w:t xml:space="preserve">While C.S.S.B. 1281 may differ from the engrossed in minor or nonsubstantive ways, the </w:t>
            </w:r>
            <w:r>
              <w:t>following summarizes the substantial differences between the engrossed and committee substitute versions of the bill.</w:t>
            </w:r>
          </w:p>
          <w:p w14:paraId="538F9A41" w14:textId="77777777" w:rsidR="00BC3B7D" w:rsidRDefault="00BC3B7D" w:rsidP="00BC3B7D">
            <w:pPr>
              <w:jc w:val="both"/>
            </w:pPr>
          </w:p>
          <w:p w14:paraId="471D948B" w14:textId="77777777" w:rsidR="00BC3B7D" w:rsidRDefault="00AB6221" w:rsidP="00BC3B7D">
            <w:pPr>
              <w:jc w:val="both"/>
            </w:pPr>
            <w:r>
              <w:t>The substitute includes the following provisions, which were not included in the engrossed:</w:t>
            </w:r>
          </w:p>
          <w:p w14:paraId="430CD253" w14:textId="77777777" w:rsidR="00E4112F" w:rsidRDefault="00AB6221" w:rsidP="00E4112F">
            <w:pPr>
              <w:pStyle w:val="ListParagraph"/>
              <w:numPr>
                <w:ilvl w:val="0"/>
                <w:numId w:val="3"/>
              </w:numPr>
              <w:jc w:val="both"/>
            </w:pPr>
            <w:r>
              <w:t>a requirement for the PUC</w:t>
            </w:r>
            <w:r>
              <w:t xml:space="preserve"> to consider certain factors when considering the need for additional service </w:t>
            </w:r>
            <w:r w:rsidRPr="00014B92">
              <w:t>when granting a certificate of public convenience and necessity for a reliability tran</w:t>
            </w:r>
            <w:r>
              <w:t>smission project that serves an</w:t>
            </w:r>
            <w:r w:rsidRPr="00014B92">
              <w:t xml:space="preserve"> ERCOT power region</w:t>
            </w:r>
            <w:r>
              <w:t>, specifically:</w:t>
            </w:r>
          </w:p>
          <w:p w14:paraId="3BD32966" w14:textId="4F2B168C" w:rsidR="00E4112F" w:rsidRDefault="00AB6221" w:rsidP="00E4112F">
            <w:pPr>
              <w:pStyle w:val="ListParagraph"/>
              <w:numPr>
                <w:ilvl w:val="1"/>
                <w:numId w:val="3"/>
              </w:numPr>
              <w:jc w:val="both"/>
            </w:pPr>
            <w:r>
              <w:t>historical load, forecaste</w:t>
            </w:r>
            <w:r>
              <w:t>d load growth, and additional load currently seeking interconnection; and</w:t>
            </w:r>
          </w:p>
          <w:p w14:paraId="54D865AC" w14:textId="4322488C" w:rsidR="00BC3B7D" w:rsidRDefault="00AB6221" w:rsidP="00E4112F">
            <w:pPr>
              <w:pStyle w:val="ListParagraph"/>
              <w:numPr>
                <w:ilvl w:val="1"/>
                <w:numId w:val="3"/>
              </w:numPr>
              <w:contextualSpacing w:val="0"/>
              <w:jc w:val="both"/>
            </w:pPr>
            <w:r>
              <w:t>security constrained optimal power flows for a reasonable range of power generation dispatch scenarios, including reliability limitations in serving load during high and low renewabl</w:t>
            </w:r>
            <w:r>
              <w:t>e generation output;</w:t>
            </w:r>
          </w:p>
          <w:p w14:paraId="0CC154C6" w14:textId="77777777" w:rsidR="00BC3B7D" w:rsidRDefault="00AB6221" w:rsidP="00BC3B7D">
            <w:pPr>
              <w:pStyle w:val="ListParagraph"/>
              <w:numPr>
                <w:ilvl w:val="0"/>
                <w:numId w:val="3"/>
              </w:numPr>
              <w:contextualSpacing w:val="0"/>
              <w:jc w:val="both"/>
            </w:pPr>
            <w:r>
              <w:t>a specification that the comparison of the project's estimated cost and estimated cost savings for consumers included in the criteria the PUC establishes for granting a certificate for certain transmission projects is considering</w:t>
            </w:r>
            <w:r w:rsidRPr="007835BC">
              <w:t xml:space="preserve"> both </w:t>
            </w:r>
            <w:r w:rsidRPr="007835BC">
              <w:t>current and future expected congestion levels and the transmission project's ability to</w:t>
            </w:r>
            <w:r>
              <w:t xml:space="preserve"> reduce those congestion levels and that the estimated cost savings are estimated congestion cost savings; and</w:t>
            </w:r>
          </w:p>
          <w:p w14:paraId="5378C05C" w14:textId="6FDDE8DF" w:rsidR="00BC3B7D" w:rsidRPr="00E4112F" w:rsidRDefault="00AB6221" w:rsidP="00E4112F">
            <w:pPr>
              <w:pStyle w:val="ListParagraph"/>
              <w:numPr>
                <w:ilvl w:val="0"/>
                <w:numId w:val="4"/>
              </w:numPr>
              <w:spacing w:before="120" w:after="120"/>
              <w:jc w:val="both"/>
              <w:rPr>
                <w:b/>
                <w:u w:val="single"/>
              </w:rPr>
            </w:pPr>
            <w:r>
              <w:t>provisions requiring the independent organization certifie</w:t>
            </w:r>
            <w:r>
              <w:t>d to perform</w:t>
            </w:r>
            <w:r w:rsidRPr="007835BC">
              <w:t xml:space="preserve"> certain </w:t>
            </w:r>
            <w:r>
              <w:t>essential market functions for the</w:t>
            </w:r>
            <w:r w:rsidRPr="007835BC">
              <w:t xml:space="preserve"> </w:t>
            </w:r>
            <w:r>
              <w:t>ERCOT power region to conduct a certain</w:t>
            </w:r>
            <w:r w:rsidRPr="007835BC">
              <w:t xml:space="preserve"> annual </w:t>
            </w:r>
            <w:r>
              <w:t xml:space="preserve">grid reliability </w:t>
            </w:r>
            <w:r w:rsidRPr="007835BC">
              <w:t xml:space="preserve">assessment of the ERCOT power grid </w:t>
            </w:r>
            <w:r>
              <w:t>and establishing requirements for that assessment.</w:t>
            </w:r>
          </w:p>
        </w:tc>
      </w:tr>
    </w:tbl>
    <w:p w14:paraId="241FDBFC" w14:textId="77777777" w:rsidR="008423E4" w:rsidRPr="00BE0E75" w:rsidRDefault="008423E4" w:rsidP="008F021F">
      <w:pPr>
        <w:jc w:val="both"/>
        <w:rPr>
          <w:rFonts w:ascii="Arial" w:hAnsi="Arial"/>
          <w:sz w:val="16"/>
          <w:szCs w:val="16"/>
        </w:rPr>
      </w:pPr>
    </w:p>
    <w:p w14:paraId="7547238B" w14:textId="77777777" w:rsidR="004108C3" w:rsidRPr="008423E4" w:rsidRDefault="004108C3" w:rsidP="008F021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F94B" w14:textId="77777777" w:rsidR="00000000" w:rsidRDefault="00AB6221">
      <w:r>
        <w:separator/>
      </w:r>
    </w:p>
  </w:endnote>
  <w:endnote w:type="continuationSeparator" w:id="0">
    <w:p w14:paraId="10AE2F29" w14:textId="77777777" w:rsidR="00000000" w:rsidRDefault="00AB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0CA0"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1FCA" w14:paraId="45B937CB" w14:textId="77777777" w:rsidTr="009C1E9A">
      <w:trPr>
        <w:cantSplit/>
      </w:trPr>
      <w:tc>
        <w:tcPr>
          <w:tcW w:w="0" w:type="pct"/>
        </w:tcPr>
        <w:p w14:paraId="3FC37556" w14:textId="77777777" w:rsidR="00137D90" w:rsidRDefault="00137D90" w:rsidP="009C1E9A">
          <w:pPr>
            <w:pStyle w:val="Footer"/>
            <w:tabs>
              <w:tab w:val="clear" w:pos="8640"/>
              <w:tab w:val="right" w:pos="9360"/>
            </w:tabs>
          </w:pPr>
        </w:p>
      </w:tc>
      <w:tc>
        <w:tcPr>
          <w:tcW w:w="2395" w:type="pct"/>
        </w:tcPr>
        <w:p w14:paraId="487933BE" w14:textId="77777777" w:rsidR="00137D90" w:rsidRDefault="00137D90" w:rsidP="009C1E9A">
          <w:pPr>
            <w:pStyle w:val="Footer"/>
            <w:tabs>
              <w:tab w:val="clear" w:pos="8640"/>
              <w:tab w:val="right" w:pos="9360"/>
            </w:tabs>
          </w:pPr>
        </w:p>
        <w:p w14:paraId="6CC2CF25" w14:textId="77777777" w:rsidR="001A4310" w:rsidRDefault="001A4310" w:rsidP="009C1E9A">
          <w:pPr>
            <w:pStyle w:val="Footer"/>
            <w:tabs>
              <w:tab w:val="clear" w:pos="8640"/>
              <w:tab w:val="right" w:pos="9360"/>
            </w:tabs>
          </w:pPr>
        </w:p>
        <w:p w14:paraId="0891B774" w14:textId="77777777" w:rsidR="00137D90" w:rsidRDefault="00137D90" w:rsidP="009C1E9A">
          <w:pPr>
            <w:pStyle w:val="Footer"/>
            <w:tabs>
              <w:tab w:val="clear" w:pos="8640"/>
              <w:tab w:val="right" w:pos="9360"/>
            </w:tabs>
          </w:pPr>
        </w:p>
      </w:tc>
      <w:tc>
        <w:tcPr>
          <w:tcW w:w="2453" w:type="pct"/>
        </w:tcPr>
        <w:p w14:paraId="59379E1A" w14:textId="77777777" w:rsidR="00137D90" w:rsidRDefault="00137D90" w:rsidP="009C1E9A">
          <w:pPr>
            <w:pStyle w:val="Footer"/>
            <w:tabs>
              <w:tab w:val="clear" w:pos="8640"/>
              <w:tab w:val="right" w:pos="9360"/>
            </w:tabs>
            <w:jc w:val="right"/>
          </w:pPr>
        </w:p>
      </w:tc>
    </w:tr>
    <w:tr w:rsidR="00FA1FCA" w14:paraId="154BEA71" w14:textId="77777777" w:rsidTr="009C1E9A">
      <w:trPr>
        <w:cantSplit/>
      </w:trPr>
      <w:tc>
        <w:tcPr>
          <w:tcW w:w="0" w:type="pct"/>
        </w:tcPr>
        <w:p w14:paraId="6D9E333F" w14:textId="77777777" w:rsidR="00EC379B" w:rsidRDefault="00EC379B" w:rsidP="009C1E9A">
          <w:pPr>
            <w:pStyle w:val="Footer"/>
            <w:tabs>
              <w:tab w:val="clear" w:pos="8640"/>
              <w:tab w:val="right" w:pos="9360"/>
            </w:tabs>
          </w:pPr>
        </w:p>
      </w:tc>
      <w:tc>
        <w:tcPr>
          <w:tcW w:w="2395" w:type="pct"/>
        </w:tcPr>
        <w:p w14:paraId="6920E32F" w14:textId="23C83A63" w:rsidR="00EC379B" w:rsidRPr="009C1E9A" w:rsidRDefault="00AB6221" w:rsidP="009C1E9A">
          <w:pPr>
            <w:pStyle w:val="Footer"/>
            <w:tabs>
              <w:tab w:val="clear" w:pos="8640"/>
              <w:tab w:val="right" w:pos="9360"/>
            </w:tabs>
            <w:rPr>
              <w:rFonts w:ascii="Shruti" w:hAnsi="Shruti"/>
              <w:sz w:val="22"/>
            </w:rPr>
          </w:pPr>
          <w:r>
            <w:rPr>
              <w:rFonts w:ascii="Shruti" w:hAnsi="Shruti"/>
              <w:sz w:val="22"/>
            </w:rPr>
            <w:t>87R 27814</w:t>
          </w:r>
        </w:p>
      </w:tc>
      <w:tc>
        <w:tcPr>
          <w:tcW w:w="2453" w:type="pct"/>
        </w:tcPr>
        <w:p w14:paraId="2DB8601C" w14:textId="3AD2D176" w:rsidR="00EC379B" w:rsidRDefault="00AB6221" w:rsidP="009C1E9A">
          <w:pPr>
            <w:pStyle w:val="Footer"/>
            <w:tabs>
              <w:tab w:val="clear" w:pos="8640"/>
              <w:tab w:val="right" w:pos="9360"/>
            </w:tabs>
            <w:jc w:val="right"/>
          </w:pPr>
          <w:r>
            <w:fldChar w:fldCharType="begin"/>
          </w:r>
          <w:r>
            <w:instrText xml:space="preserve"> DOCPROPERTY  OTID  \* MERGEFORMAT </w:instrText>
          </w:r>
          <w:r>
            <w:fldChar w:fldCharType="separate"/>
          </w:r>
          <w:r w:rsidR="00B749D4">
            <w:t>21.138.1507</w:t>
          </w:r>
          <w:r>
            <w:fldChar w:fldCharType="end"/>
          </w:r>
        </w:p>
      </w:tc>
    </w:tr>
    <w:tr w:rsidR="00FA1FCA" w14:paraId="129E2AE6" w14:textId="77777777" w:rsidTr="009C1E9A">
      <w:trPr>
        <w:cantSplit/>
      </w:trPr>
      <w:tc>
        <w:tcPr>
          <w:tcW w:w="0" w:type="pct"/>
        </w:tcPr>
        <w:p w14:paraId="1C6DA37B" w14:textId="77777777" w:rsidR="00EC379B" w:rsidRDefault="00EC379B" w:rsidP="009C1E9A">
          <w:pPr>
            <w:pStyle w:val="Footer"/>
            <w:tabs>
              <w:tab w:val="clear" w:pos="4320"/>
              <w:tab w:val="clear" w:pos="8640"/>
              <w:tab w:val="left" w:pos="2865"/>
            </w:tabs>
          </w:pPr>
        </w:p>
      </w:tc>
      <w:tc>
        <w:tcPr>
          <w:tcW w:w="2395" w:type="pct"/>
        </w:tcPr>
        <w:p w14:paraId="35256287" w14:textId="5BA42611" w:rsidR="00EC379B" w:rsidRPr="009C1E9A" w:rsidRDefault="00AB6221" w:rsidP="009C1E9A">
          <w:pPr>
            <w:pStyle w:val="Footer"/>
            <w:tabs>
              <w:tab w:val="clear" w:pos="4320"/>
              <w:tab w:val="clear" w:pos="8640"/>
              <w:tab w:val="left" w:pos="2865"/>
            </w:tabs>
            <w:rPr>
              <w:rFonts w:ascii="Shruti" w:hAnsi="Shruti"/>
              <w:sz w:val="22"/>
            </w:rPr>
          </w:pPr>
          <w:r>
            <w:rPr>
              <w:rFonts w:ascii="Shruti" w:hAnsi="Shruti"/>
              <w:sz w:val="22"/>
            </w:rPr>
            <w:t>Substitute Document Number: 87R 26508</w:t>
          </w:r>
        </w:p>
      </w:tc>
      <w:tc>
        <w:tcPr>
          <w:tcW w:w="2453" w:type="pct"/>
        </w:tcPr>
        <w:p w14:paraId="76419B66" w14:textId="77777777" w:rsidR="00EC379B" w:rsidRDefault="00EC379B" w:rsidP="006D504F">
          <w:pPr>
            <w:pStyle w:val="Footer"/>
            <w:rPr>
              <w:rStyle w:val="PageNumber"/>
            </w:rPr>
          </w:pPr>
        </w:p>
        <w:p w14:paraId="4DF38766" w14:textId="77777777" w:rsidR="00EC379B" w:rsidRDefault="00EC379B" w:rsidP="009C1E9A">
          <w:pPr>
            <w:pStyle w:val="Footer"/>
            <w:tabs>
              <w:tab w:val="clear" w:pos="8640"/>
              <w:tab w:val="right" w:pos="9360"/>
            </w:tabs>
            <w:jc w:val="right"/>
          </w:pPr>
        </w:p>
      </w:tc>
    </w:tr>
    <w:tr w:rsidR="00FA1FCA" w14:paraId="52F180F6" w14:textId="77777777" w:rsidTr="009C1E9A">
      <w:trPr>
        <w:cantSplit/>
        <w:trHeight w:val="323"/>
      </w:trPr>
      <w:tc>
        <w:tcPr>
          <w:tcW w:w="0" w:type="pct"/>
          <w:gridSpan w:val="3"/>
        </w:tcPr>
        <w:p w14:paraId="58E08109" w14:textId="6F16189B" w:rsidR="00EC379B" w:rsidRDefault="00AB62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49D4">
            <w:rPr>
              <w:rStyle w:val="PageNumber"/>
              <w:noProof/>
            </w:rPr>
            <w:t>2</w:t>
          </w:r>
          <w:r>
            <w:rPr>
              <w:rStyle w:val="PageNumber"/>
            </w:rPr>
            <w:fldChar w:fldCharType="end"/>
          </w:r>
        </w:p>
        <w:p w14:paraId="37C31B0D" w14:textId="77777777" w:rsidR="00EC379B" w:rsidRDefault="00EC379B" w:rsidP="009C1E9A">
          <w:pPr>
            <w:pStyle w:val="Footer"/>
            <w:tabs>
              <w:tab w:val="clear" w:pos="8640"/>
              <w:tab w:val="right" w:pos="9360"/>
            </w:tabs>
            <w:jc w:val="center"/>
          </w:pPr>
        </w:p>
      </w:tc>
    </w:tr>
  </w:tbl>
  <w:p w14:paraId="15ED42E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F18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51C5" w14:textId="77777777" w:rsidR="00000000" w:rsidRDefault="00AB6221">
      <w:r>
        <w:separator/>
      </w:r>
    </w:p>
  </w:footnote>
  <w:footnote w:type="continuationSeparator" w:id="0">
    <w:p w14:paraId="571B66D2" w14:textId="77777777" w:rsidR="00000000" w:rsidRDefault="00AB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645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C62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8D6F"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850"/>
    <w:multiLevelType w:val="hybridMultilevel"/>
    <w:tmpl w:val="4392B692"/>
    <w:lvl w:ilvl="0" w:tplc="FF52B1B4">
      <w:start w:val="1"/>
      <w:numFmt w:val="bullet"/>
      <w:lvlText w:val=""/>
      <w:lvlJc w:val="left"/>
      <w:pPr>
        <w:tabs>
          <w:tab w:val="num" w:pos="720"/>
        </w:tabs>
        <w:ind w:left="720" w:hanging="360"/>
      </w:pPr>
      <w:rPr>
        <w:rFonts w:ascii="Symbol" w:hAnsi="Symbol" w:hint="default"/>
      </w:rPr>
    </w:lvl>
    <w:lvl w:ilvl="1" w:tplc="C3808DCA" w:tentative="1">
      <w:start w:val="1"/>
      <w:numFmt w:val="bullet"/>
      <w:lvlText w:val="o"/>
      <w:lvlJc w:val="left"/>
      <w:pPr>
        <w:ind w:left="1440" w:hanging="360"/>
      </w:pPr>
      <w:rPr>
        <w:rFonts w:ascii="Courier New" w:hAnsi="Courier New" w:cs="Courier New" w:hint="default"/>
      </w:rPr>
    </w:lvl>
    <w:lvl w:ilvl="2" w:tplc="FCC84BCE" w:tentative="1">
      <w:start w:val="1"/>
      <w:numFmt w:val="bullet"/>
      <w:lvlText w:val=""/>
      <w:lvlJc w:val="left"/>
      <w:pPr>
        <w:ind w:left="2160" w:hanging="360"/>
      </w:pPr>
      <w:rPr>
        <w:rFonts w:ascii="Wingdings" w:hAnsi="Wingdings" w:hint="default"/>
      </w:rPr>
    </w:lvl>
    <w:lvl w:ilvl="3" w:tplc="79787866" w:tentative="1">
      <w:start w:val="1"/>
      <w:numFmt w:val="bullet"/>
      <w:lvlText w:val=""/>
      <w:lvlJc w:val="left"/>
      <w:pPr>
        <w:ind w:left="2880" w:hanging="360"/>
      </w:pPr>
      <w:rPr>
        <w:rFonts w:ascii="Symbol" w:hAnsi="Symbol" w:hint="default"/>
      </w:rPr>
    </w:lvl>
    <w:lvl w:ilvl="4" w:tplc="6B088C6E" w:tentative="1">
      <w:start w:val="1"/>
      <w:numFmt w:val="bullet"/>
      <w:lvlText w:val="o"/>
      <w:lvlJc w:val="left"/>
      <w:pPr>
        <w:ind w:left="3600" w:hanging="360"/>
      </w:pPr>
      <w:rPr>
        <w:rFonts w:ascii="Courier New" w:hAnsi="Courier New" w:cs="Courier New" w:hint="default"/>
      </w:rPr>
    </w:lvl>
    <w:lvl w:ilvl="5" w:tplc="040C7B94" w:tentative="1">
      <w:start w:val="1"/>
      <w:numFmt w:val="bullet"/>
      <w:lvlText w:val=""/>
      <w:lvlJc w:val="left"/>
      <w:pPr>
        <w:ind w:left="4320" w:hanging="360"/>
      </w:pPr>
      <w:rPr>
        <w:rFonts w:ascii="Wingdings" w:hAnsi="Wingdings" w:hint="default"/>
      </w:rPr>
    </w:lvl>
    <w:lvl w:ilvl="6" w:tplc="60D8979C" w:tentative="1">
      <w:start w:val="1"/>
      <w:numFmt w:val="bullet"/>
      <w:lvlText w:val=""/>
      <w:lvlJc w:val="left"/>
      <w:pPr>
        <w:ind w:left="5040" w:hanging="360"/>
      </w:pPr>
      <w:rPr>
        <w:rFonts w:ascii="Symbol" w:hAnsi="Symbol" w:hint="default"/>
      </w:rPr>
    </w:lvl>
    <w:lvl w:ilvl="7" w:tplc="BEE27D1A" w:tentative="1">
      <w:start w:val="1"/>
      <w:numFmt w:val="bullet"/>
      <w:lvlText w:val="o"/>
      <w:lvlJc w:val="left"/>
      <w:pPr>
        <w:ind w:left="5760" w:hanging="360"/>
      </w:pPr>
      <w:rPr>
        <w:rFonts w:ascii="Courier New" w:hAnsi="Courier New" w:cs="Courier New" w:hint="default"/>
      </w:rPr>
    </w:lvl>
    <w:lvl w:ilvl="8" w:tplc="CC9AA892" w:tentative="1">
      <w:start w:val="1"/>
      <w:numFmt w:val="bullet"/>
      <w:lvlText w:val=""/>
      <w:lvlJc w:val="left"/>
      <w:pPr>
        <w:ind w:left="6480" w:hanging="360"/>
      </w:pPr>
      <w:rPr>
        <w:rFonts w:ascii="Wingdings" w:hAnsi="Wingdings" w:hint="default"/>
      </w:rPr>
    </w:lvl>
  </w:abstractNum>
  <w:abstractNum w:abstractNumId="1" w15:restartNumberingAfterBreak="0">
    <w:nsid w:val="2E7C15DD"/>
    <w:multiLevelType w:val="hybridMultilevel"/>
    <w:tmpl w:val="E4C84A7A"/>
    <w:lvl w:ilvl="0" w:tplc="5022BBC4">
      <w:start w:val="1"/>
      <w:numFmt w:val="bullet"/>
      <w:lvlText w:val=""/>
      <w:lvlJc w:val="left"/>
      <w:pPr>
        <w:tabs>
          <w:tab w:val="num" w:pos="720"/>
        </w:tabs>
        <w:ind w:left="720" w:hanging="360"/>
      </w:pPr>
      <w:rPr>
        <w:rFonts w:ascii="Symbol" w:hAnsi="Symbol" w:hint="default"/>
      </w:rPr>
    </w:lvl>
    <w:lvl w:ilvl="1" w:tplc="D0060250" w:tentative="1">
      <w:start w:val="1"/>
      <w:numFmt w:val="bullet"/>
      <w:lvlText w:val="o"/>
      <w:lvlJc w:val="left"/>
      <w:pPr>
        <w:ind w:left="1440" w:hanging="360"/>
      </w:pPr>
      <w:rPr>
        <w:rFonts w:ascii="Courier New" w:hAnsi="Courier New" w:cs="Courier New" w:hint="default"/>
      </w:rPr>
    </w:lvl>
    <w:lvl w:ilvl="2" w:tplc="10248B0E" w:tentative="1">
      <w:start w:val="1"/>
      <w:numFmt w:val="bullet"/>
      <w:lvlText w:val=""/>
      <w:lvlJc w:val="left"/>
      <w:pPr>
        <w:ind w:left="2160" w:hanging="360"/>
      </w:pPr>
      <w:rPr>
        <w:rFonts w:ascii="Wingdings" w:hAnsi="Wingdings" w:hint="default"/>
      </w:rPr>
    </w:lvl>
    <w:lvl w:ilvl="3" w:tplc="4078C068" w:tentative="1">
      <w:start w:val="1"/>
      <w:numFmt w:val="bullet"/>
      <w:lvlText w:val=""/>
      <w:lvlJc w:val="left"/>
      <w:pPr>
        <w:ind w:left="2880" w:hanging="360"/>
      </w:pPr>
      <w:rPr>
        <w:rFonts w:ascii="Symbol" w:hAnsi="Symbol" w:hint="default"/>
      </w:rPr>
    </w:lvl>
    <w:lvl w:ilvl="4" w:tplc="D2767B7A" w:tentative="1">
      <w:start w:val="1"/>
      <w:numFmt w:val="bullet"/>
      <w:lvlText w:val="o"/>
      <w:lvlJc w:val="left"/>
      <w:pPr>
        <w:ind w:left="3600" w:hanging="360"/>
      </w:pPr>
      <w:rPr>
        <w:rFonts w:ascii="Courier New" w:hAnsi="Courier New" w:cs="Courier New" w:hint="default"/>
      </w:rPr>
    </w:lvl>
    <w:lvl w:ilvl="5" w:tplc="66F65CA4" w:tentative="1">
      <w:start w:val="1"/>
      <w:numFmt w:val="bullet"/>
      <w:lvlText w:val=""/>
      <w:lvlJc w:val="left"/>
      <w:pPr>
        <w:ind w:left="4320" w:hanging="360"/>
      </w:pPr>
      <w:rPr>
        <w:rFonts w:ascii="Wingdings" w:hAnsi="Wingdings" w:hint="default"/>
      </w:rPr>
    </w:lvl>
    <w:lvl w:ilvl="6" w:tplc="61E28EF2" w:tentative="1">
      <w:start w:val="1"/>
      <w:numFmt w:val="bullet"/>
      <w:lvlText w:val=""/>
      <w:lvlJc w:val="left"/>
      <w:pPr>
        <w:ind w:left="5040" w:hanging="360"/>
      </w:pPr>
      <w:rPr>
        <w:rFonts w:ascii="Symbol" w:hAnsi="Symbol" w:hint="default"/>
      </w:rPr>
    </w:lvl>
    <w:lvl w:ilvl="7" w:tplc="865616C2" w:tentative="1">
      <w:start w:val="1"/>
      <w:numFmt w:val="bullet"/>
      <w:lvlText w:val="o"/>
      <w:lvlJc w:val="left"/>
      <w:pPr>
        <w:ind w:left="5760" w:hanging="360"/>
      </w:pPr>
      <w:rPr>
        <w:rFonts w:ascii="Courier New" w:hAnsi="Courier New" w:cs="Courier New" w:hint="default"/>
      </w:rPr>
    </w:lvl>
    <w:lvl w:ilvl="8" w:tplc="63866F5E" w:tentative="1">
      <w:start w:val="1"/>
      <w:numFmt w:val="bullet"/>
      <w:lvlText w:val=""/>
      <w:lvlJc w:val="left"/>
      <w:pPr>
        <w:ind w:left="6480" w:hanging="360"/>
      </w:pPr>
      <w:rPr>
        <w:rFonts w:ascii="Wingdings" w:hAnsi="Wingdings" w:hint="default"/>
      </w:rPr>
    </w:lvl>
  </w:abstractNum>
  <w:abstractNum w:abstractNumId="2" w15:restartNumberingAfterBreak="0">
    <w:nsid w:val="567D344E"/>
    <w:multiLevelType w:val="hybridMultilevel"/>
    <w:tmpl w:val="A24E2FA6"/>
    <w:lvl w:ilvl="0" w:tplc="E97E48B6">
      <w:start w:val="1"/>
      <w:numFmt w:val="bullet"/>
      <w:lvlText w:val=""/>
      <w:lvlJc w:val="left"/>
      <w:pPr>
        <w:tabs>
          <w:tab w:val="num" w:pos="720"/>
        </w:tabs>
        <w:ind w:left="720" w:hanging="360"/>
      </w:pPr>
      <w:rPr>
        <w:rFonts w:ascii="Symbol" w:hAnsi="Symbol" w:hint="default"/>
      </w:rPr>
    </w:lvl>
    <w:lvl w:ilvl="1" w:tplc="F08240C6">
      <w:start w:val="1"/>
      <w:numFmt w:val="bullet"/>
      <w:lvlText w:val="o"/>
      <w:lvlJc w:val="left"/>
      <w:pPr>
        <w:ind w:left="1440" w:hanging="360"/>
      </w:pPr>
      <w:rPr>
        <w:rFonts w:ascii="Courier New" w:hAnsi="Courier New" w:cs="Courier New" w:hint="default"/>
      </w:rPr>
    </w:lvl>
    <w:lvl w:ilvl="2" w:tplc="3E883946" w:tentative="1">
      <w:start w:val="1"/>
      <w:numFmt w:val="bullet"/>
      <w:lvlText w:val=""/>
      <w:lvlJc w:val="left"/>
      <w:pPr>
        <w:ind w:left="2160" w:hanging="360"/>
      </w:pPr>
      <w:rPr>
        <w:rFonts w:ascii="Wingdings" w:hAnsi="Wingdings" w:hint="default"/>
      </w:rPr>
    </w:lvl>
    <w:lvl w:ilvl="3" w:tplc="9348BAC8" w:tentative="1">
      <w:start w:val="1"/>
      <w:numFmt w:val="bullet"/>
      <w:lvlText w:val=""/>
      <w:lvlJc w:val="left"/>
      <w:pPr>
        <w:ind w:left="2880" w:hanging="360"/>
      </w:pPr>
      <w:rPr>
        <w:rFonts w:ascii="Symbol" w:hAnsi="Symbol" w:hint="default"/>
      </w:rPr>
    </w:lvl>
    <w:lvl w:ilvl="4" w:tplc="010226E8" w:tentative="1">
      <w:start w:val="1"/>
      <w:numFmt w:val="bullet"/>
      <w:lvlText w:val="o"/>
      <w:lvlJc w:val="left"/>
      <w:pPr>
        <w:ind w:left="3600" w:hanging="360"/>
      </w:pPr>
      <w:rPr>
        <w:rFonts w:ascii="Courier New" w:hAnsi="Courier New" w:cs="Courier New" w:hint="default"/>
      </w:rPr>
    </w:lvl>
    <w:lvl w:ilvl="5" w:tplc="0F9A0C16" w:tentative="1">
      <w:start w:val="1"/>
      <w:numFmt w:val="bullet"/>
      <w:lvlText w:val=""/>
      <w:lvlJc w:val="left"/>
      <w:pPr>
        <w:ind w:left="4320" w:hanging="360"/>
      </w:pPr>
      <w:rPr>
        <w:rFonts w:ascii="Wingdings" w:hAnsi="Wingdings" w:hint="default"/>
      </w:rPr>
    </w:lvl>
    <w:lvl w:ilvl="6" w:tplc="27787044" w:tentative="1">
      <w:start w:val="1"/>
      <w:numFmt w:val="bullet"/>
      <w:lvlText w:val=""/>
      <w:lvlJc w:val="left"/>
      <w:pPr>
        <w:ind w:left="5040" w:hanging="360"/>
      </w:pPr>
      <w:rPr>
        <w:rFonts w:ascii="Symbol" w:hAnsi="Symbol" w:hint="default"/>
      </w:rPr>
    </w:lvl>
    <w:lvl w:ilvl="7" w:tplc="4B824FF2" w:tentative="1">
      <w:start w:val="1"/>
      <w:numFmt w:val="bullet"/>
      <w:lvlText w:val="o"/>
      <w:lvlJc w:val="left"/>
      <w:pPr>
        <w:ind w:left="5760" w:hanging="360"/>
      </w:pPr>
      <w:rPr>
        <w:rFonts w:ascii="Courier New" w:hAnsi="Courier New" w:cs="Courier New" w:hint="default"/>
      </w:rPr>
    </w:lvl>
    <w:lvl w:ilvl="8" w:tplc="89D8B514" w:tentative="1">
      <w:start w:val="1"/>
      <w:numFmt w:val="bullet"/>
      <w:lvlText w:val=""/>
      <w:lvlJc w:val="left"/>
      <w:pPr>
        <w:ind w:left="6480" w:hanging="360"/>
      </w:pPr>
      <w:rPr>
        <w:rFonts w:ascii="Wingdings" w:hAnsi="Wingdings" w:hint="default"/>
      </w:rPr>
    </w:lvl>
  </w:abstractNum>
  <w:abstractNum w:abstractNumId="3" w15:restartNumberingAfterBreak="0">
    <w:nsid w:val="5DF97593"/>
    <w:multiLevelType w:val="hybridMultilevel"/>
    <w:tmpl w:val="D59A1E08"/>
    <w:lvl w:ilvl="0" w:tplc="477EFBAA">
      <w:start w:val="1"/>
      <w:numFmt w:val="bullet"/>
      <w:lvlText w:val=""/>
      <w:lvlJc w:val="left"/>
      <w:pPr>
        <w:tabs>
          <w:tab w:val="num" w:pos="720"/>
        </w:tabs>
        <w:ind w:left="720" w:hanging="360"/>
      </w:pPr>
      <w:rPr>
        <w:rFonts w:ascii="Symbol" w:hAnsi="Symbol" w:hint="default"/>
      </w:rPr>
    </w:lvl>
    <w:lvl w:ilvl="1" w:tplc="5286525E" w:tentative="1">
      <w:start w:val="1"/>
      <w:numFmt w:val="bullet"/>
      <w:lvlText w:val="o"/>
      <w:lvlJc w:val="left"/>
      <w:pPr>
        <w:ind w:left="1440" w:hanging="360"/>
      </w:pPr>
      <w:rPr>
        <w:rFonts w:ascii="Courier New" w:hAnsi="Courier New" w:cs="Courier New" w:hint="default"/>
      </w:rPr>
    </w:lvl>
    <w:lvl w:ilvl="2" w:tplc="32683F66" w:tentative="1">
      <w:start w:val="1"/>
      <w:numFmt w:val="bullet"/>
      <w:lvlText w:val=""/>
      <w:lvlJc w:val="left"/>
      <w:pPr>
        <w:ind w:left="2160" w:hanging="360"/>
      </w:pPr>
      <w:rPr>
        <w:rFonts w:ascii="Wingdings" w:hAnsi="Wingdings" w:hint="default"/>
      </w:rPr>
    </w:lvl>
    <w:lvl w:ilvl="3" w:tplc="B64E45F2" w:tentative="1">
      <w:start w:val="1"/>
      <w:numFmt w:val="bullet"/>
      <w:lvlText w:val=""/>
      <w:lvlJc w:val="left"/>
      <w:pPr>
        <w:ind w:left="2880" w:hanging="360"/>
      </w:pPr>
      <w:rPr>
        <w:rFonts w:ascii="Symbol" w:hAnsi="Symbol" w:hint="default"/>
      </w:rPr>
    </w:lvl>
    <w:lvl w:ilvl="4" w:tplc="C9D0C4FA" w:tentative="1">
      <w:start w:val="1"/>
      <w:numFmt w:val="bullet"/>
      <w:lvlText w:val="o"/>
      <w:lvlJc w:val="left"/>
      <w:pPr>
        <w:ind w:left="3600" w:hanging="360"/>
      </w:pPr>
      <w:rPr>
        <w:rFonts w:ascii="Courier New" w:hAnsi="Courier New" w:cs="Courier New" w:hint="default"/>
      </w:rPr>
    </w:lvl>
    <w:lvl w:ilvl="5" w:tplc="32B0FE04" w:tentative="1">
      <w:start w:val="1"/>
      <w:numFmt w:val="bullet"/>
      <w:lvlText w:val=""/>
      <w:lvlJc w:val="left"/>
      <w:pPr>
        <w:ind w:left="4320" w:hanging="360"/>
      </w:pPr>
      <w:rPr>
        <w:rFonts w:ascii="Wingdings" w:hAnsi="Wingdings" w:hint="default"/>
      </w:rPr>
    </w:lvl>
    <w:lvl w:ilvl="6" w:tplc="A1AE1DC0" w:tentative="1">
      <w:start w:val="1"/>
      <w:numFmt w:val="bullet"/>
      <w:lvlText w:val=""/>
      <w:lvlJc w:val="left"/>
      <w:pPr>
        <w:ind w:left="5040" w:hanging="360"/>
      </w:pPr>
      <w:rPr>
        <w:rFonts w:ascii="Symbol" w:hAnsi="Symbol" w:hint="default"/>
      </w:rPr>
    </w:lvl>
    <w:lvl w:ilvl="7" w:tplc="C3B6BB7C" w:tentative="1">
      <w:start w:val="1"/>
      <w:numFmt w:val="bullet"/>
      <w:lvlText w:val="o"/>
      <w:lvlJc w:val="left"/>
      <w:pPr>
        <w:ind w:left="5760" w:hanging="360"/>
      </w:pPr>
      <w:rPr>
        <w:rFonts w:ascii="Courier New" w:hAnsi="Courier New" w:cs="Courier New" w:hint="default"/>
      </w:rPr>
    </w:lvl>
    <w:lvl w:ilvl="8" w:tplc="0978BF3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D"/>
    <w:rsid w:val="00000A70"/>
    <w:rsid w:val="000032B8"/>
    <w:rsid w:val="00003B06"/>
    <w:rsid w:val="000054B9"/>
    <w:rsid w:val="00007461"/>
    <w:rsid w:val="0001117E"/>
    <w:rsid w:val="0001125F"/>
    <w:rsid w:val="0001338E"/>
    <w:rsid w:val="00013D24"/>
    <w:rsid w:val="00014AF0"/>
    <w:rsid w:val="00014B92"/>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669"/>
    <w:rsid w:val="00073914"/>
    <w:rsid w:val="00074236"/>
    <w:rsid w:val="000746BD"/>
    <w:rsid w:val="000762DA"/>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27D"/>
    <w:rsid w:val="00113522"/>
    <w:rsid w:val="0011378D"/>
    <w:rsid w:val="00115EE9"/>
    <w:rsid w:val="001169F9"/>
    <w:rsid w:val="001174B8"/>
    <w:rsid w:val="00120797"/>
    <w:rsid w:val="0012371B"/>
    <w:rsid w:val="001245C8"/>
    <w:rsid w:val="00124653"/>
    <w:rsid w:val="001247C5"/>
    <w:rsid w:val="00127893"/>
    <w:rsid w:val="001312BB"/>
    <w:rsid w:val="00137D90"/>
    <w:rsid w:val="00141FB6"/>
    <w:rsid w:val="00142F8E"/>
    <w:rsid w:val="00143C8B"/>
    <w:rsid w:val="00147530"/>
    <w:rsid w:val="0015331F"/>
    <w:rsid w:val="00154AB5"/>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0575"/>
    <w:rsid w:val="001D05D3"/>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D9F"/>
    <w:rsid w:val="00291518"/>
    <w:rsid w:val="00296FF0"/>
    <w:rsid w:val="002A17C0"/>
    <w:rsid w:val="002A48DF"/>
    <w:rsid w:val="002A5A84"/>
    <w:rsid w:val="002A6E6F"/>
    <w:rsid w:val="002A74E4"/>
    <w:rsid w:val="002A7687"/>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293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274"/>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8CC"/>
    <w:rsid w:val="003B5BAD"/>
    <w:rsid w:val="003B66B6"/>
    <w:rsid w:val="003B7984"/>
    <w:rsid w:val="003B7AF6"/>
    <w:rsid w:val="003C0411"/>
    <w:rsid w:val="003C1871"/>
    <w:rsid w:val="003C1C55"/>
    <w:rsid w:val="003C25EA"/>
    <w:rsid w:val="003C36FD"/>
    <w:rsid w:val="003C664C"/>
    <w:rsid w:val="003D4E3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426"/>
    <w:rsid w:val="005A3790"/>
    <w:rsid w:val="005A3CCB"/>
    <w:rsid w:val="005A5AD0"/>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C03"/>
    <w:rsid w:val="005D767D"/>
    <w:rsid w:val="005D7A30"/>
    <w:rsid w:val="005D7D3B"/>
    <w:rsid w:val="005E1999"/>
    <w:rsid w:val="005E232C"/>
    <w:rsid w:val="005E2B83"/>
    <w:rsid w:val="005E4AEB"/>
    <w:rsid w:val="005E738F"/>
    <w:rsid w:val="005E788B"/>
    <w:rsid w:val="005F0573"/>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4EF"/>
    <w:rsid w:val="00711E3D"/>
    <w:rsid w:val="00711E85"/>
    <w:rsid w:val="00712DDA"/>
    <w:rsid w:val="00717739"/>
    <w:rsid w:val="00717DE4"/>
    <w:rsid w:val="00721724"/>
    <w:rsid w:val="00722EC5"/>
    <w:rsid w:val="00723326"/>
    <w:rsid w:val="00723E74"/>
    <w:rsid w:val="00724252"/>
    <w:rsid w:val="00727E7A"/>
    <w:rsid w:val="0073163C"/>
    <w:rsid w:val="00731DE3"/>
    <w:rsid w:val="00735B9D"/>
    <w:rsid w:val="007365A5"/>
    <w:rsid w:val="00736FB0"/>
    <w:rsid w:val="007404BC"/>
    <w:rsid w:val="00740D13"/>
    <w:rsid w:val="00740F5F"/>
    <w:rsid w:val="00742794"/>
    <w:rsid w:val="00743C4C"/>
    <w:rsid w:val="00744332"/>
    <w:rsid w:val="007445B7"/>
    <w:rsid w:val="00744920"/>
    <w:rsid w:val="007509BE"/>
    <w:rsid w:val="0075287B"/>
    <w:rsid w:val="00755C7B"/>
    <w:rsid w:val="00764786"/>
    <w:rsid w:val="00766E12"/>
    <w:rsid w:val="00767FB5"/>
    <w:rsid w:val="0077098E"/>
    <w:rsid w:val="00771287"/>
    <w:rsid w:val="0077149E"/>
    <w:rsid w:val="00777518"/>
    <w:rsid w:val="0077779E"/>
    <w:rsid w:val="00780FB6"/>
    <w:rsid w:val="007835BC"/>
    <w:rsid w:val="0078552A"/>
    <w:rsid w:val="00785729"/>
    <w:rsid w:val="00786058"/>
    <w:rsid w:val="0079487D"/>
    <w:rsid w:val="007966D4"/>
    <w:rsid w:val="00796A0A"/>
    <w:rsid w:val="0079792C"/>
    <w:rsid w:val="007A0989"/>
    <w:rsid w:val="007A331F"/>
    <w:rsid w:val="007A3844"/>
    <w:rsid w:val="007A4381"/>
    <w:rsid w:val="007A5466"/>
    <w:rsid w:val="007A7EC1"/>
    <w:rsid w:val="007B05D6"/>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2572"/>
    <w:rsid w:val="008C3FD0"/>
    <w:rsid w:val="008D27A5"/>
    <w:rsid w:val="008D2AAB"/>
    <w:rsid w:val="008D309C"/>
    <w:rsid w:val="008D58F9"/>
    <w:rsid w:val="008E3338"/>
    <w:rsid w:val="008E47BE"/>
    <w:rsid w:val="008F021F"/>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99B"/>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EBD"/>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6221"/>
    <w:rsid w:val="00AB74E2"/>
    <w:rsid w:val="00AC2E9A"/>
    <w:rsid w:val="00AC5AAB"/>
    <w:rsid w:val="00AC5AEC"/>
    <w:rsid w:val="00AC5F28"/>
    <w:rsid w:val="00AC6900"/>
    <w:rsid w:val="00AC7B3B"/>
    <w:rsid w:val="00AD304B"/>
    <w:rsid w:val="00AD4497"/>
    <w:rsid w:val="00AD7780"/>
    <w:rsid w:val="00AE2263"/>
    <w:rsid w:val="00AE248E"/>
    <w:rsid w:val="00AE2D12"/>
    <w:rsid w:val="00AE2F06"/>
    <w:rsid w:val="00AE4F1C"/>
    <w:rsid w:val="00AF1433"/>
    <w:rsid w:val="00AF48B4"/>
    <w:rsid w:val="00AF4923"/>
    <w:rsid w:val="00AF7322"/>
    <w:rsid w:val="00AF7C74"/>
    <w:rsid w:val="00B000AF"/>
    <w:rsid w:val="00B01490"/>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1E26"/>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49D4"/>
    <w:rsid w:val="00B80532"/>
    <w:rsid w:val="00B82039"/>
    <w:rsid w:val="00B82454"/>
    <w:rsid w:val="00B864DD"/>
    <w:rsid w:val="00B86BDD"/>
    <w:rsid w:val="00B90097"/>
    <w:rsid w:val="00B90999"/>
    <w:rsid w:val="00B91AD7"/>
    <w:rsid w:val="00B92D23"/>
    <w:rsid w:val="00B95BC8"/>
    <w:rsid w:val="00B96E87"/>
    <w:rsid w:val="00BA146A"/>
    <w:rsid w:val="00BA32EE"/>
    <w:rsid w:val="00BB5B36"/>
    <w:rsid w:val="00BC027B"/>
    <w:rsid w:val="00BC30A6"/>
    <w:rsid w:val="00BC3B7D"/>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951"/>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D45"/>
    <w:rsid w:val="00CF4827"/>
    <w:rsid w:val="00CF4C69"/>
    <w:rsid w:val="00CF581C"/>
    <w:rsid w:val="00CF71E0"/>
    <w:rsid w:val="00D001B1"/>
    <w:rsid w:val="00D02088"/>
    <w:rsid w:val="00D03176"/>
    <w:rsid w:val="00D060A8"/>
    <w:rsid w:val="00D06605"/>
    <w:rsid w:val="00D0720F"/>
    <w:rsid w:val="00D074E2"/>
    <w:rsid w:val="00D11B0B"/>
    <w:rsid w:val="00D12A3E"/>
    <w:rsid w:val="00D22160"/>
    <w:rsid w:val="00D22172"/>
    <w:rsid w:val="00D2301B"/>
    <w:rsid w:val="00D239EE"/>
    <w:rsid w:val="00D30534"/>
    <w:rsid w:val="00D34F1A"/>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0E9A"/>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12F"/>
    <w:rsid w:val="00E41CAE"/>
    <w:rsid w:val="00E42014"/>
    <w:rsid w:val="00E42B85"/>
    <w:rsid w:val="00E42BB2"/>
    <w:rsid w:val="00E43263"/>
    <w:rsid w:val="00E438AE"/>
    <w:rsid w:val="00E443CE"/>
    <w:rsid w:val="00E45547"/>
    <w:rsid w:val="00E500F1"/>
    <w:rsid w:val="00E51446"/>
    <w:rsid w:val="00E528EB"/>
    <w:rsid w:val="00E529C8"/>
    <w:rsid w:val="00E5458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4CC"/>
    <w:rsid w:val="00E85DBD"/>
    <w:rsid w:val="00E87A99"/>
    <w:rsid w:val="00E90702"/>
    <w:rsid w:val="00E9241E"/>
    <w:rsid w:val="00E93DEF"/>
    <w:rsid w:val="00E947B1"/>
    <w:rsid w:val="00E96852"/>
    <w:rsid w:val="00EA16AC"/>
    <w:rsid w:val="00EA385A"/>
    <w:rsid w:val="00EA3931"/>
    <w:rsid w:val="00EA658E"/>
    <w:rsid w:val="00EA7A88"/>
    <w:rsid w:val="00EA7C0E"/>
    <w:rsid w:val="00EB27F2"/>
    <w:rsid w:val="00EB3928"/>
    <w:rsid w:val="00EB5373"/>
    <w:rsid w:val="00EC02A2"/>
    <w:rsid w:val="00EC379B"/>
    <w:rsid w:val="00EC37DF"/>
    <w:rsid w:val="00EC41B1"/>
    <w:rsid w:val="00ED0665"/>
    <w:rsid w:val="00ED0C5B"/>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543A"/>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1FC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404757-0E34-4EF4-A0A7-A1EE2876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01490"/>
    <w:rPr>
      <w:sz w:val="16"/>
      <w:szCs w:val="16"/>
    </w:rPr>
  </w:style>
  <w:style w:type="paragraph" w:styleId="CommentText">
    <w:name w:val="annotation text"/>
    <w:basedOn w:val="Normal"/>
    <w:link w:val="CommentTextChar"/>
    <w:semiHidden/>
    <w:unhideWhenUsed/>
    <w:rsid w:val="00B01490"/>
    <w:rPr>
      <w:sz w:val="20"/>
      <w:szCs w:val="20"/>
    </w:rPr>
  </w:style>
  <w:style w:type="character" w:customStyle="1" w:styleId="CommentTextChar">
    <w:name w:val="Comment Text Char"/>
    <w:basedOn w:val="DefaultParagraphFont"/>
    <w:link w:val="CommentText"/>
    <w:semiHidden/>
    <w:rsid w:val="00B01490"/>
  </w:style>
  <w:style w:type="paragraph" w:styleId="CommentSubject">
    <w:name w:val="annotation subject"/>
    <w:basedOn w:val="CommentText"/>
    <w:next w:val="CommentText"/>
    <w:link w:val="CommentSubjectChar"/>
    <w:semiHidden/>
    <w:unhideWhenUsed/>
    <w:rsid w:val="00B01490"/>
    <w:rPr>
      <w:b/>
      <w:bCs/>
    </w:rPr>
  </w:style>
  <w:style w:type="character" w:customStyle="1" w:styleId="CommentSubjectChar">
    <w:name w:val="Comment Subject Char"/>
    <w:basedOn w:val="CommentTextChar"/>
    <w:link w:val="CommentSubject"/>
    <w:semiHidden/>
    <w:rsid w:val="00B01490"/>
    <w:rPr>
      <w:b/>
      <w:bCs/>
    </w:rPr>
  </w:style>
  <w:style w:type="paragraph" w:styleId="ListParagraph">
    <w:name w:val="List Paragraph"/>
    <w:basedOn w:val="Normal"/>
    <w:uiPriority w:val="34"/>
    <w:qFormat/>
    <w:rsid w:val="00014B92"/>
    <w:pPr>
      <w:ind w:left="720"/>
      <w:contextualSpacing/>
    </w:pPr>
  </w:style>
  <w:style w:type="paragraph" w:styleId="Revision">
    <w:name w:val="Revision"/>
    <w:hidden/>
    <w:uiPriority w:val="99"/>
    <w:semiHidden/>
    <w:rsid w:val="001D0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6244</Characters>
  <Application>Microsoft Office Word</Application>
  <DocSecurity>4</DocSecurity>
  <Lines>120</Lines>
  <Paragraphs>31</Paragraphs>
  <ScaleCrop>false</ScaleCrop>
  <HeadingPairs>
    <vt:vector size="2" baseType="variant">
      <vt:variant>
        <vt:lpstr>Title</vt:lpstr>
      </vt:variant>
      <vt:variant>
        <vt:i4>1</vt:i4>
      </vt:variant>
    </vt:vector>
  </HeadingPairs>
  <TitlesOfParts>
    <vt:vector size="1" baseType="lpstr">
      <vt:lpstr>BA - SB01281 (Committee Report (Substituted))</vt:lpstr>
    </vt:vector>
  </TitlesOfParts>
  <Company>State of Texas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27814</dc:subject>
  <dc:creator>State of Texas</dc:creator>
  <dc:description>SB 1281 by Hancock-(H)State Affairs (Substitute Document Number: 87R 26508)</dc:description>
  <cp:lastModifiedBy>Damian Duarte</cp:lastModifiedBy>
  <cp:revision>2</cp:revision>
  <cp:lastPrinted>2003-11-26T17:21:00Z</cp:lastPrinted>
  <dcterms:created xsi:type="dcterms:W3CDTF">2021-05-18T22:49:00Z</dcterms:created>
  <dcterms:modified xsi:type="dcterms:W3CDTF">2021-05-18T22:49:00Z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21.138.1507</vt:lpwstr>
  </property>
</Properties>
</file>