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B084C" w14:paraId="305B7A5F" w14:textId="77777777" w:rsidTr="00345119">
        <w:tc>
          <w:tcPr>
            <w:tcW w:w="9576" w:type="dxa"/>
            <w:noWrap/>
          </w:tcPr>
          <w:p w14:paraId="6927A114" w14:textId="77777777" w:rsidR="008423E4" w:rsidRPr="0022177D" w:rsidRDefault="005E7853" w:rsidP="00316519">
            <w:pPr>
              <w:pStyle w:val="Heading1"/>
            </w:pPr>
            <w:bookmarkStart w:id="0" w:name="_GoBack"/>
            <w:bookmarkEnd w:id="0"/>
            <w:r w:rsidRPr="00631897">
              <w:t>BILL ANALYSIS</w:t>
            </w:r>
          </w:p>
        </w:tc>
      </w:tr>
    </w:tbl>
    <w:p w14:paraId="40725CE3" w14:textId="77777777" w:rsidR="008423E4" w:rsidRPr="0022177D" w:rsidRDefault="008423E4" w:rsidP="00316519">
      <w:pPr>
        <w:jc w:val="center"/>
      </w:pPr>
    </w:p>
    <w:p w14:paraId="7E624A27" w14:textId="77777777" w:rsidR="008423E4" w:rsidRPr="00B31F0E" w:rsidRDefault="008423E4" w:rsidP="00316519"/>
    <w:p w14:paraId="1BC3A445" w14:textId="77777777" w:rsidR="008423E4" w:rsidRPr="00742794" w:rsidRDefault="008423E4" w:rsidP="00316519">
      <w:pPr>
        <w:tabs>
          <w:tab w:val="right" w:pos="9360"/>
        </w:tabs>
      </w:pPr>
    </w:p>
    <w:tbl>
      <w:tblPr>
        <w:tblW w:w="0" w:type="auto"/>
        <w:tblLayout w:type="fixed"/>
        <w:tblLook w:val="01E0" w:firstRow="1" w:lastRow="1" w:firstColumn="1" w:lastColumn="1" w:noHBand="0" w:noVBand="0"/>
      </w:tblPr>
      <w:tblGrid>
        <w:gridCol w:w="9576"/>
      </w:tblGrid>
      <w:tr w:rsidR="007B084C" w14:paraId="77D6FEB7" w14:textId="77777777" w:rsidTr="00345119">
        <w:tc>
          <w:tcPr>
            <w:tcW w:w="9576" w:type="dxa"/>
          </w:tcPr>
          <w:p w14:paraId="3B81A656" w14:textId="0BB465CB" w:rsidR="008423E4" w:rsidRPr="00861995" w:rsidRDefault="005E7853" w:rsidP="00316519">
            <w:pPr>
              <w:jc w:val="right"/>
            </w:pPr>
            <w:r>
              <w:t>S.B. 1282</w:t>
            </w:r>
          </w:p>
        </w:tc>
      </w:tr>
      <w:tr w:rsidR="007B084C" w14:paraId="4B23817A" w14:textId="77777777" w:rsidTr="00345119">
        <w:tc>
          <w:tcPr>
            <w:tcW w:w="9576" w:type="dxa"/>
          </w:tcPr>
          <w:p w14:paraId="0DF6ABA5" w14:textId="140591C1" w:rsidR="008423E4" w:rsidRPr="00861995" w:rsidRDefault="005E7853" w:rsidP="00316519">
            <w:pPr>
              <w:jc w:val="right"/>
            </w:pPr>
            <w:r>
              <w:t xml:space="preserve">By: </w:t>
            </w:r>
            <w:r w:rsidR="00CB52C6">
              <w:t>Hancock</w:t>
            </w:r>
          </w:p>
        </w:tc>
      </w:tr>
      <w:tr w:rsidR="007B084C" w14:paraId="0A1567DA" w14:textId="77777777" w:rsidTr="00345119">
        <w:tc>
          <w:tcPr>
            <w:tcW w:w="9576" w:type="dxa"/>
          </w:tcPr>
          <w:p w14:paraId="2C2B096D" w14:textId="5CFCFE1F" w:rsidR="008423E4" w:rsidRPr="00861995" w:rsidRDefault="005E7853" w:rsidP="00316519">
            <w:pPr>
              <w:jc w:val="right"/>
            </w:pPr>
            <w:r>
              <w:t>State Affairs</w:t>
            </w:r>
          </w:p>
        </w:tc>
      </w:tr>
      <w:tr w:rsidR="007B084C" w14:paraId="48FE2B2E" w14:textId="77777777" w:rsidTr="00345119">
        <w:tc>
          <w:tcPr>
            <w:tcW w:w="9576" w:type="dxa"/>
          </w:tcPr>
          <w:p w14:paraId="723DD415" w14:textId="2D7DBE8E" w:rsidR="008423E4" w:rsidRDefault="005E7853" w:rsidP="00316519">
            <w:pPr>
              <w:jc w:val="right"/>
            </w:pPr>
            <w:r>
              <w:t>Committee Report (Unamended)</w:t>
            </w:r>
          </w:p>
        </w:tc>
      </w:tr>
    </w:tbl>
    <w:p w14:paraId="59CB5FCC" w14:textId="77777777" w:rsidR="008423E4" w:rsidRDefault="008423E4" w:rsidP="00316519">
      <w:pPr>
        <w:tabs>
          <w:tab w:val="right" w:pos="9360"/>
        </w:tabs>
      </w:pPr>
    </w:p>
    <w:p w14:paraId="6A26F803" w14:textId="77777777" w:rsidR="008423E4" w:rsidRDefault="008423E4" w:rsidP="00316519"/>
    <w:p w14:paraId="7405824C" w14:textId="77777777" w:rsidR="008423E4" w:rsidRDefault="008423E4" w:rsidP="00316519"/>
    <w:tbl>
      <w:tblPr>
        <w:tblW w:w="0" w:type="auto"/>
        <w:tblCellMar>
          <w:left w:w="115" w:type="dxa"/>
          <w:right w:w="115" w:type="dxa"/>
        </w:tblCellMar>
        <w:tblLook w:val="01E0" w:firstRow="1" w:lastRow="1" w:firstColumn="1" w:lastColumn="1" w:noHBand="0" w:noVBand="0"/>
      </w:tblPr>
      <w:tblGrid>
        <w:gridCol w:w="9360"/>
      </w:tblGrid>
      <w:tr w:rsidR="007B084C" w14:paraId="276C4113" w14:textId="77777777" w:rsidTr="00345119">
        <w:tc>
          <w:tcPr>
            <w:tcW w:w="9576" w:type="dxa"/>
          </w:tcPr>
          <w:p w14:paraId="12649D71" w14:textId="77777777" w:rsidR="008423E4" w:rsidRPr="00A8133F" w:rsidRDefault="005E7853" w:rsidP="00316519">
            <w:pPr>
              <w:rPr>
                <w:b/>
              </w:rPr>
            </w:pPr>
            <w:r w:rsidRPr="009C1E9A">
              <w:rPr>
                <w:b/>
                <w:u w:val="single"/>
              </w:rPr>
              <w:t>BACKGROUND AND PURPOSE</w:t>
            </w:r>
            <w:r>
              <w:rPr>
                <w:b/>
              </w:rPr>
              <w:t xml:space="preserve"> </w:t>
            </w:r>
          </w:p>
          <w:p w14:paraId="38F8A708" w14:textId="77777777" w:rsidR="008423E4" w:rsidRDefault="008423E4" w:rsidP="00316519"/>
          <w:p w14:paraId="362CB37A" w14:textId="3E8ECDD5" w:rsidR="008423E4" w:rsidRDefault="005E7853" w:rsidP="00316519">
            <w:pPr>
              <w:pStyle w:val="Header"/>
              <w:tabs>
                <w:tab w:val="clear" w:pos="4320"/>
                <w:tab w:val="clear" w:pos="8640"/>
              </w:tabs>
              <w:jc w:val="both"/>
            </w:pPr>
            <w:r>
              <w:t>Currently, the costs arising from the interconnection of certain electric generation facilities with the ERCOT transmission system are socialized and paid for by Texas consumers while the interconnecting generator bears none of the costs. Because generator</w:t>
            </w:r>
            <w:r>
              <w:t>s do not pay for interconnection costs, they are not incentivized to look for the best locations to efficiently interconnect new resources and instead often opt for cheap land that is far from the consumers they wish to serve, thus causing millions of doll</w:t>
            </w:r>
            <w:r>
              <w:t xml:space="preserve">ars of costs to the system for all consumers. It has been noted that </w:t>
            </w:r>
            <w:r w:rsidR="005301D9">
              <w:t>outside of the ERCOT region this practice is less common and generators are often made to b</w:t>
            </w:r>
            <w:r w:rsidR="001D6DB9">
              <w:t>ear</w:t>
            </w:r>
            <w:r w:rsidR="005301D9">
              <w:t xml:space="preserve"> some or all of the costs associated with the interconnection of their generation assets. Because t</w:t>
            </w:r>
            <w:r w:rsidRPr="00612C50">
              <w:t>here are about $1 billion of interconnection costs associated with pending generation projects in the ERCOT queue</w:t>
            </w:r>
            <w:r w:rsidR="005301D9">
              <w:t>, it is essential that reform is undertaken so that Texas consumers are not forced to b</w:t>
            </w:r>
            <w:r w:rsidR="001D6DB9">
              <w:t>ear</w:t>
            </w:r>
            <w:r w:rsidR="005301D9">
              <w:t xml:space="preserve"> the totality of these costs</w:t>
            </w:r>
            <w:r w:rsidRPr="00612C50">
              <w:t xml:space="preserve">. </w:t>
            </w:r>
            <w:r w:rsidR="005301D9">
              <w:t xml:space="preserve">S.B. 1282 seeks to </w:t>
            </w:r>
            <w:r w:rsidR="001D6DB9">
              <w:t xml:space="preserve">provide for a </w:t>
            </w:r>
            <w:r w:rsidR="005301D9">
              <w:t>cap</w:t>
            </w:r>
            <w:r w:rsidR="001D6DB9">
              <w:t xml:space="preserve"> on</w:t>
            </w:r>
            <w:r w:rsidR="005301D9">
              <w:t xml:space="preserve"> the amount of capital costs incurred to interconnect </w:t>
            </w:r>
            <w:r w:rsidR="005301D9" w:rsidRPr="004C6A37">
              <w:t>generation resources and el</w:t>
            </w:r>
            <w:r w:rsidR="005301D9">
              <w:t>ectric energy storage resources with the ERCOT transmission system that may be socialized and require that any excess costs be borne directly by the applicable generation resource or electric energy storage resource.</w:t>
            </w:r>
          </w:p>
          <w:p w14:paraId="6BEE136E" w14:textId="77777777" w:rsidR="008423E4" w:rsidRPr="00E26B13" w:rsidRDefault="008423E4" w:rsidP="00316519">
            <w:pPr>
              <w:rPr>
                <w:b/>
              </w:rPr>
            </w:pPr>
          </w:p>
        </w:tc>
      </w:tr>
      <w:tr w:rsidR="007B084C" w14:paraId="34DE843D" w14:textId="77777777" w:rsidTr="00345119">
        <w:tc>
          <w:tcPr>
            <w:tcW w:w="9576" w:type="dxa"/>
          </w:tcPr>
          <w:p w14:paraId="7F092EC5" w14:textId="77777777" w:rsidR="0017725B" w:rsidRDefault="005E7853" w:rsidP="00316519">
            <w:pPr>
              <w:rPr>
                <w:b/>
                <w:u w:val="single"/>
              </w:rPr>
            </w:pPr>
            <w:r>
              <w:rPr>
                <w:b/>
                <w:u w:val="single"/>
              </w:rPr>
              <w:t>CRIMINAL JUSTICE IMPACT</w:t>
            </w:r>
          </w:p>
          <w:p w14:paraId="1E54369A" w14:textId="77777777" w:rsidR="0017725B" w:rsidRDefault="0017725B" w:rsidP="00316519">
            <w:pPr>
              <w:rPr>
                <w:b/>
                <w:u w:val="single"/>
              </w:rPr>
            </w:pPr>
          </w:p>
          <w:p w14:paraId="1FBF6F50" w14:textId="77777777" w:rsidR="004C6A37" w:rsidRPr="004C6A37" w:rsidRDefault="005E7853" w:rsidP="00316519">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14:paraId="0E1E20D7" w14:textId="77777777" w:rsidR="0017725B" w:rsidRPr="0017725B" w:rsidRDefault="0017725B" w:rsidP="00316519">
            <w:pPr>
              <w:rPr>
                <w:b/>
                <w:u w:val="single"/>
              </w:rPr>
            </w:pPr>
          </w:p>
        </w:tc>
      </w:tr>
      <w:tr w:rsidR="007B084C" w14:paraId="3B0ABCDC" w14:textId="77777777" w:rsidTr="00345119">
        <w:tc>
          <w:tcPr>
            <w:tcW w:w="9576" w:type="dxa"/>
          </w:tcPr>
          <w:p w14:paraId="5783F179" w14:textId="77777777" w:rsidR="008423E4" w:rsidRPr="00A8133F" w:rsidRDefault="005E7853" w:rsidP="00316519">
            <w:pPr>
              <w:rPr>
                <w:b/>
              </w:rPr>
            </w:pPr>
            <w:r w:rsidRPr="009C1E9A">
              <w:rPr>
                <w:b/>
                <w:u w:val="single"/>
              </w:rPr>
              <w:t>RULEMAKING AUTHORITY</w:t>
            </w:r>
            <w:r>
              <w:rPr>
                <w:b/>
              </w:rPr>
              <w:t xml:space="preserve"> </w:t>
            </w:r>
          </w:p>
          <w:p w14:paraId="7BD39C93" w14:textId="77777777" w:rsidR="008423E4" w:rsidRDefault="008423E4" w:rsidP="00316519"/>
          <w:p w14:paraId="002AA9A5" w14:textId="4AA88386" w:rsidR="004C6A37" w:rsidRDefault="005E7853" w:rsidP="00316519">
            <w:pPr>
              <w:pStyle w:val="Header"/>
              <w:tabs>
                <w:tab w:val="clear" w:pos="4320"/>
                <w:tab w:val="clear" w:pos="8640"/>
              </w:tabs>
              <w:jc w:val="both"/>
            </w:pPr>
            <w:r>
              <w:t xml:space="preserve">It is the committee's opinion that rulemaking authority is expressly granted to the Public Utility Commission of Texas in </w:t>
            </w:r>
            <w:r>
              <w:t>SECTION 1 of this bill.</w:t>
            </w:r>
          </w:p>
          <w:p w14:paraId="7FBAC454" w14:textId="77777777" w:rsidR="008423E4" w:rsidRPr="00E21FDC" w:rsidRDefault="008423E4" w:rsidP="00316519">
            <w:pPr>
              <w:rPr>
                <w:b/>
              </w:rPr>
            </w:pPr>
          </w:p>
        </w:tc>
      </w:tr>
      <w:tr w:rsidR="007B084C" w14:paraId="1B03EEA8" w14:textId="77777777" w:rsidTr="00345119">
        <w:tc>
          <w:tcPr>
            <w:tcW w:w="9576" w:type="dxa"/>
          </w:tcPr>
          <w:p w14:paraId="25FC0CD4" w14:textId="77777777" w:rsidR="008423E4" w:rsidRPr="00A8133F" w:rsidRDefault="005E7853" w:rsidP="00316519">
            <w:pPr>
              <w:rPr>
                <w:b/>
              </w:rPr>
            </w:pPr>
            <w:r w:rsidRPr="009C1E9A">
              <w:rPr>
                <w:b/>
                <w:u w:val="single"/>
              </w:rPr>
              <w:t>ANALYSIS</w:t>
            </w:r>
            <w:r>
              <w:rPr>
                <w:b/>
              </w:rPr>
              <w:t xml:space="preserve"> </w:t>
            </w:r>
          </w:p>
          <w:p w14:paraId="5184F0BD" w14:textId="77777777" w:rsidR="008423E4" w:rsidRDefault="008423E4" w:rsidP="00316519"/>
          <w:p w14:paraId="741466B0" w14:textId="11B97394" w:rsidR="009C36CD" w:rsidRPr="009C36CD" w:rsidRDefault="005E7853" w:rsidP="00316519">
            <w:pPr>
              <w:pStyle w:val="Header"/>
              <w:tabs>
                <w:tab w:val="clear" w:pos="4320"/>
                <w:tab w:val="clear" w:pos="8640"/>
              </w:tabs>
              <w:jc w:val="both"/>
            </w:pPr>
            <w:r>
              <w:t>S</w:t>
            </w:r>
            <w:r w:rsidR="004C6A37">
              <w:t xml:space="preserve">.B. </w:t>
            </w:r>
            <w:r>
              <w:t xml:space="preserve">1282 </w:t>
            </w:r>
            <w:r w:rsidR="004C6A37">
              <w:t xml:space="preserve">amends the Utilities Code to require </w:t>
            </w:r>
            <w:r w:rsidR="00B2430F">
              <w:t>the Public Utility Commission of Texas</w:t>
            </w:r>
            <w:r w:rsidR="003162A7">
              <w:t xml:space="preserve"> (PUC)</w:t>
            </w:r>
            <w:r w:rsidR="00B2430F">
              <w:t xml:space="preserve"> by rule to establish a reasonable allowance for </w:t>
            </w:r>
            <w:r w:rsidR="004C6A37">
              <w:t>c</w:t>
            </w:r>
            <w:r w:rsidR="004C6A37" w:rsidRPr="004C6A37">
              <w:t>apital costs incurred to interconnect generation resources and el</w:t>
            </w:r>
            <w:r w:rsidR="004C6A37">
              <w:t>ectric energy storage resources that are considered generation assets</w:t>
            </w:r>
            <w:r w:rsidR="00B2430F">
              <w:t xml:space="preserve"> with the ERCOT transmission system, which must</w:t>
            </w:r>
            <w:r w:rsidR="004C6A37">
              <w:t xml:space="preserve"> </w:t>
            </w:r>
            <w:r w:rsidR="004C6A37" w:rsidRPr="004C6A37">
              <w:t>includ</w:t>
            </w:r>
            <w:r w:rsidR="00B2430F">
              <w:t>e</w:t>
            </w:r>
            <w:r w:rsidR="004C6A37" w:rsidRPr="004C6A37">
              <w:t xml:space="preserve"> </w:t>
            </w:r>
            <w:r w:rsidR="00B2430F">
              <w:t xml:space="preserve">the </w:t>
            </w:r>
            <w:r w:rsidR="004C6A37" w:rsidRPr="004C6A37">
              <w:t xml:space="preserve">costs of </w:t>
            </w:r>
            <w:r w:rsidR="00B2430F">
              <w:t>the direct</w:t>
            </w:r>
            <w:r w:rsidR="004C6A37" w:rsidRPr="004C6A37">
              <w:t xml:space="preserve"> interconnection </w:t>
            </w:r>
            <w:r w:rsidR="00B2430F">
              <w:t>of the generator to the</w:t>
            </w:r>
            <w:r w:rsidR="004C6A37" w:rsidRPr="004C6A37">
              <w:t xml:space="preserve"> system </w:t>
            </w:r>
            <w:r w:rsidR="00B2430F">
              <w:t xml:space="preserve">and </w:t>
            </w:r>
            <w:r w:rsidR="004C6A37" w:rsidRPr="004C6A37">
              <w:t xml:space="preserve">upgrades directly </w:t>
            </w:r>
            <w:r w:rsidR="00B2430F">
              <w:t>caused by the interconnection. Any costs that exceed the allowance must be borne directly</w:t>
            </w:r>
            <w:r w:rsidR="004C6A37" w:rsidRPr="004C6A37">
              <w:t xml:space="preserve"> by the generation resource or electric energy storage resource receiving interconnection service through the facilities.</w:t>
            </w:r>
            <w:r>
              <w:t xml:space="preserve"> The bill clarifies </w:t>
            </w:r>
            <w:r w:rsidR="003162A7">
              <w:t xml:space="preserve">that costs that exceed the allowance are excluded from the PUC calculation for pricing wholesale transmission services within ERCOT. </w:t>
            </w:r>
          </w:p>
          <w:p w14:paraId="4DB45A95" w14:textId="77777777" w:rsidR="008423E4" w:rsidRPr="00835628" w:rsidRDefault="008423E4" w:rsidP="00316519">
            <w:pPr>
              <w:rPr>
                <w:b/>
              </w:rPr>
            </w:pPr>
          </w:p>
        </w:tc>
      </w:tr>
      <w:tr w:rsidR="007B084C" w14:paraId="5AFF7379" w14:textId="77777777" w:rsidTr="00345119">
        <w:tc>
          <w:tcPr>
            <w:tcW w:w="9576" w:type="dxa"/>
          </w:tcPr>
          <w:p w14:paraId="00E7656C" w14:textId="77777777" w:rsidR="008423E4" w:rsidRPr="00A8133F" w:rsidRDefault="005E7853" w:rsidP="00316519">
            <w:pPr>
              <w:rPr>
                <w:b/>
              </w:rPr>
            </w:pPr>
            <w:r w:rsidRPr="009C1E9A">
              <w:rPr>
                <w:b/>
                <w:u w:val="single"/>
              </w:rPr>
              <w:t>EFFECTIVE DATE</w:t>
            </w:r>
            <w:r>
              <w:rPr>
                <w:b/>
              </w:rPr>
              <w:t xml:space="preserve"> </w:t>
            </w:r>
          </w:p>
          <w:p w14:paraId="482A912A" w14:textId="77777777" w:rsidR="008423E4" w:rsidRDefault="008423E4" w:rsidP="00316519"/>
          <w:p w14:paraId="240FC330" w14:textId="77777777" w:rsidR="008423E4" w:rsidRPr="003624F2" w:rsidRDefault="005E7853" w:rsidP="00316519">
            <w:pPr>
              <w:pStyle w:val="Header"/>
              <w:tabs>
                <w:tab w:val="clear" w:pos="4320"/>
                <w:tab w:val="clear" w:pos="8640"/>
              </w:tabs>
              <w:jc w:val="both"/>
            </w:pPr>
            <w:r>
              <w:t>September 1, 2021.</w:t>
            </w:r>
          </w:p>
          <w:p w14:paraId="0BBFDFF5" w14:textId="77777777" w:rsidR="008423E4" w:rsidRPr="00233FDB" w:rsidRDefault="008423E4" w:rsidP="00316519">
            <w:pPr>
              <w:rPr>
                <w:b/>
              </w:rPr>
            </w:pPr>
          </w:p>
        </w:tc>
      </w:tr>
    </w:tbl>
    <w:p w14:paraId="14FDCF03" w14:textId="77777777" w:rsidR="008423E4" w:rsidRPr="00BE0E75" w:rsidRDefault="008423E4" w:rsidP="00316519">
      <w:pPr>
        <w:jc w:val="both"/>
        <w:rPr>
          <w:rFonts w:ascii="Arial" w:hAnsi="Arial"/>
          <w:sz w:val="16"/>
          <w:szCs w:val="16"/>
        </w:rPr>
      </w:pPr>
    </w:p>
    <w:sectPr w:rsidR="008423E4" w:rsidRPr="00BE0E7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6020" w14:textId="77777777" w:rsidR="00000000" w:rsidRDefault="005E7853">
      <w:r>
        <w:separator/>
      </w:r>
    </w:p>
  </w:endnote>
  <w:endnote w:type="continuationSeparator" w:id="0">
    <w:p w14:paraId="4C7F85F7" w14:textId="77777777" w:rsidR="00000000" w:rsidRDefault="005E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BBC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B084C" w14:paraId="4E8C14F0" w14:textId="77777777" w:rsidTr="009C1E9A">
      <w:trPr>
        <w:cantSplit/>
      </w:trPr>
      <w:tc>
        <w:tcPr>
          <w:tcW w:w="0" w:type="pct"/>
        </w:tcPr>
        <w:p w14:paraId="379F150A" w14:textId="77777777" w:rsidR="00137D90" w:rsidRDefault="00137D90" w:rsidP="009C1E9A">
          <w:pPr>
            <w:pStyle w:val="Footer"/>
            <w:tabs>
              <w:tab w:val="clear" w:pos="8640"/>
              <w:tab w:val="right" w:pos="9360"/>
            </w:tabs>
          </w:pPr>
        </w:p>
      </w:tc>
      <w:tc>
        <w:tcPr>
          <w:tcW w:w="2395" w:type="pct"/>
        </w:tcPr>
        <w:p w14:paraId="6CF6F214" w14:textId="77777777" w:rsidR="00137D90" w:rsidRDefault="00137D90" w:rsidP="009C1E9A">
          <w:pPr>
            <w:pStyle w:val="Footer"/>
            <w:tabs>
              <w:tab w:val="clear" w:pos="8640"/>
              <w:tab w:val="right" w:pos="9360"/>
            </w:tabs>
          </w:pPr>
        </w:p>
        <w:p w14:paraId="58B1D41D" w14:textId="77777777" w:rsidR="001A4310" w:rsidRDefault="001A4310" w:rsidP="009C1E9A">
          <w:pPr>
            <w:pStyle w:val="Footer"/>
            <w:tabs>
              <w:tab w:val="clear" w:pos="8640"/>
              <w:tab w:val="right" w:pos="9360"/>
            </w:tabs>
          </w:pPr>
        </w:p>
        <w:p w14:paraId="39233746" w14:textId="77777777" w:rsidR="00137D90" w:rsidRDefault="00137D90" w:rsidP="009C1E9A">
          <w:pPr>
            <w:pStyle w:val="Footer"/>
            <w:tabs>
              <w:tab w:val="clear" w:pos="8640"/>
              <w:tab w:val="right" w:pos="9360"/>
            </w:tabs>
          </w:pPr>
        </w:p>
      </w:tc>
      <w:tc>
        <w:tcPr>
          <w:tcW w:w="2453" w:type="pct"/>
        </w:tcPr>
        <w:p w14:paraId="170C50FF" w14:textId="77777777" w:rsidR="00137D90" w:rsidRDefault="00137D90" w:rsidP="009C1E9A">
          <w:pPr>
            <w:pStyle w:val="Footer"/>
            <w:tabs>
              <w:tab w:val="clear" w:pos="8640"/>
              <w:tab w:val="right" w:pos="9360"/>
            </w:tabs>
            <w:jc w:val="right"/>
          </w:pPr>
        </w:p>
      </w:tc>
    </w:tr>
    <w:tr w:rsidR="007B084C" w14:paraId="614D3958" w14:textId="77777777" w:rsidTr="009C1E9A">
      <w:trPr>
        <w:cantSplit/>
      </w:trPr>
      <w:tc>
        <w:tcPr>
          <w:tcW w:w="0" w:type="pct"/>
        </w:tcPr>
        <w:p w14:paraId="6F0C0DE8" w14:textId="77777777" w:rsidR="00EC379B" w:rsidRDefault="00EC379B" w:rsidP="009C1E9A">
          <w:pPr>
            <w:pStyle w:val="Footer"/>
            <w:tabs>
              <w:tab w:val="clear" w:pos="8640"/>
              <w:tab w:val="right" w:pos="9360"/>
            </w:tabs>
          </w:pPr>
        </w:p>
      </w:tc>
      <w:tc>
        <w:tcPr>
          <w:tcW w:w="2395" w:type="pct"/>
        </w:tcPr>
        <w:p w14:paraId="3C7E6B80" w14:textId="15812439" w:rsidR="00EC379B" w:rsidRPr="009C1E9A" w:rsidRDefault="005E7853" w:rsidP="009C1E9A">
          <w:pPr>
            <w:pStyle w:val="Footer"/>
            <w:tabs>
              <w:tab w:val="clear" w:pos="8640"/>
              <w:tab w:val="right" w:pos="9360"/>
            </w:tabs>
            <w:rPr>
              <w:rFonts w:ascii="Shruti" w:hAnsi="Shruti"/>
              <w:sz w:val="22"/>
            </w:rPr>
          </w:pPr>
          <w:r>
            <w:rPr>
              <w:rFonts w:ascii="Shruti" w:hAnsi="Shruti"/>
              <w:sz w:val="22"/>
            </w:rPr>
            <w:t>87R 26869</w:t>
          </w:r>
        </w:p>
      </w:tc>
      <w:tc>
        <w:tcPr>
          <w:tcW w:w="2453" w:type="pct"/>
        </w:tcPr>
        <w:p w14:paraId="58EEEED5" w14:textId="4BE4B093" w:rsidR="00EC379B" w:rsidRDefault="005E7853" w:rsidP="009C1E9A">
          <w:pPr>
            <w:pStyle w:val="Footer"/>
            <w:tabs>
              <w:tab w:val="clear" w:pos="8640"/>
              <w:tab w:val="right" w:pos="9360"/>
            </w:tabs>
            <w:jc w:val="right"/>
          </w:pPr>
          <w:r>
            <w:fldChar w:fldCharType="begin"/>
          </w:r>
          <w:r>
            <w:instrText xml:space="preserve"> DOCPROPERTY  OTID  \* MERGEFORMAT </w:instrText>
          </w:r>
          <w:r>
            <w:fldChar w:fldCharType="separate"/>
          </w:r>
          <w:r w:rsidR="005C22DE">
            <w:t>21.134.763</w:t>
          </w:r>
          <w:r>
            <w:fldChar w:fldCharType="end"/>
          </w:r>
        </w:p>
      </w:tc>
    </w:tr>
    <w:tr w:rsidR="007B084C" w14:paraId="0F6C5F31" w14:textId="77777777" w:rsidTr="009C1E9A">
      <w:trPr>
        <w:cantSplit/>
      </w:trPr>
      <w:tc>
        <w:tcPr>
          <w:tcW w:w="0" w:type="pct"/>
        </w:tcPr>
        <w:p w14:paraId="6A9DC83F" w14:textId="77777777" w:rsidR="00EC379B" w:rsidRDefault="00EC379B" w:rsidP="009C1E9A">
          <w:pPr>
            <w:pStyle w:val="Footer"/>
            <w:tabs>
              <w:tab w:val="clear" w:pos="4320"/>
              <w:tab w:val="clear" w:pos="8640"/>
              <w:tab w:val="left" w:pos="2865"/>
            </w:tabs>
          </w:pPr>
        </w:p>
      </w:tc>
      <w:tc>
        <w:tcPr>
          <w:tcW w:w="2395" w:type="pct"/>
        </w:tcPr>
        <w:p w14:paraId="42180C9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FA74EA0" w14:textId="77777777" w:rsidR="00EC379B" w:rsidRDefault="00EC379B" w:rsidP="006D504F">
          <w:pPr>
            <w:pStyle w:val="Footer"/>
            <w:rPr>
              <w:rStyle w:val="PageNumber"/>
            </w:rPr>
          </w:pPr>
        </w:p>
        <w:p w14:paraId="40802731" w14:textId="77777777" w:rsidR="00EC379B" w:rsidRDefault="00EC379B" w:rsidP="009C1E9A">
          <w:pPr>
            <w:pStyle w:val="Footer"/>
            <w:tabs>
              <w:tab w:val="clear" w:pos="8640"/>
              <w:tab w:val="right" w:pos="9360"/>
            </w:tabs>
            <w:jc w:val="right"/>
          </w:pPr>
        </w:p>
      </w:tc>
    </w:tr>
    <w:tr w:rsidR="007B084C" w14:paraId="46F9D1B2" w14:textId="77777777" w:rsidTr="009C1E9A">
      <w:trPr>
        <w:cantSplit/>
        <w:trHeight w:val="323"/>
      </w:trPr>
      <w:tc>
        <w:tcPr>
          <w:tcW w:w="0" w:type="pct"/>
          <w:gridSpan w:val="3"/>
        </w:tcPr>
        <w:p w14:paraId="4B8C8CDA" w14:textId="182B92DD" w:rsidR="00EC379B" w:rsidRDefault="005E78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C22DE">
            <w:rPr>
              <w:rStyle w:val="PageNumber"/>
              <w:noProof/>
            </w:rPr>
            <w:t>1</w:t>
          </w:r>
          <w:r>
            <w:rPr>
              <w:rStyle w:val="PageNumber"/>
            </w:rPr>
            <w:fldChar w:fldCharType="end"/>
          </w:r>
        </w:p>
        <w:p w14:paraId="6A046DEB" w14:textId="77777777" w:rsidR="00EC379B" w:rsidRDefault="00EC379B" w:rsidP="009C1E9A">
          <w:pPr>
            <w:pStyle w:val="Footer"/>
            <w:tabs>
              <w:tab w:val="clear" w:pos="8640"/>
              <w:tab w:val="right" w:pos="9360"/>
            </w:tabs>
            <w:jc w:val="center"/>
          </w:pPr>
        </w:p>
      </w:tc>
    </w:tr>
  </w:tbl>
  <w:p w14:paraId="78EE872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CC8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70B6" w14:textId="77777777" w:rsidR="00000000" w:rsidRDefault="005E7853">
      <w:r>
        <w:separator/>
      </w:r>
    </w:p>
  </w:footnote>
  <w:footnote w:type="continuationSeparator" w:id="0">
    <w:p w14:paraId="4C7A36AB" w14:textId="77777777" w:rsidR="00000000" w:rsidRDefault="005E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1EB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736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D98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3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CC"/>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098"/>
    <w:rsid w:val="001664C2"/>
    <w:rsid w:val="00171BF2"/>
    <w:rsid w:val="0017347B"/>
    <w:rsid w:val="0017725B"/>
    <w:rsid w:val="0018050C"/>
    <w:rsid w:val="0018117F"/>
    <w:rsid w:val="001824ED"/>
    <w:rsid w:val="00183262"/>
    <w:rsid w:val="00184B03"/>
    <w:rsid w:val="00185C59"/>
    <w:rsid w:val="00187C1B"/>
    <w:rsid w:val="001908AC"/>
    <w:rsid w:val="00190CFB"/>
    <w:rsid w:val="00190DE3"/>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DB9"/>
    <w:rsid w:val="001E2CAD"/>
    <w:rsid w:val="001E34DB"/>
    <w:rsid w:val="001E37CD"/>
    <w:rsid w:val="001E4070"/>
    <w:rsid w:val="001E655E"/>
    <w:rsid w:val="001E7351"/>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62A7"/>
    <w:rsid w:val="00316519"/>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5FFD"/>
    <w:rsid w:val="00377E3D"/>
    <w:rsid w:val="003847E8"/>
    <w:rsid w:val="0038731D"/>
    <w:rsid w:val="00387B60"/>
    <w:rsid w:val="00390098"/>
    <w:rsid w:val="00392DA1"/>
    <w:rsid w:val="00393718"/>
    <w:rsid w:val="003A0296"/>
    <w:rsid w:val="003A10BC"/>
    <w:rsid w:val="003A2D8E"/>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791B"/>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735"/>
    <w:rsid w:val="004C302F"/>
    <w:rsid w:val="004C4609"/>
    <w:rsid w:val="004C4B8A"/>
    <w:rsid w:val="004C52EF"/>
    <w:rsid w:val="004C5F34"/>
    <w:rsid w:val="004C600C"/>
    <w:rsid w:val="004C6A37"/>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1D9"/>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2DE"/>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53"/>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C50"/>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952"/>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84C"/>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4C73"/>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CFE"/>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5719"/>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430F"/>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52C6"/>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356"/>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0A62"/>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C72A1"/>
    <w:rsid w:val="00FD1B4B"/>
    <w:rsid w:val="00FD1B94"/>
    <w:rsid w:val="00FE19C5"/>
    <w:rsid w:val="00FE4286"/>
    <w:rsid w:val="00FE48C3"/>
    <w:rsid w:val="00FE5909"/>
    <w:rsid w:val="00FE652E"/>
    <w:rsid w:val="00FE71FE"/>
    <w:rsid w:val="00FF04A1"/>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E72211-5CD7-4875-AF7E-1DF1E2C2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C6A37"/>
    <w:rPr>
      <w:sz w:val="16"/>
      <w:szCs w:val="16"/>
    </w:rPr>
  </w:style>
  <w:style w:type="paragraph" w:styleId="CommentText">
    <w:name w:val="annotation text"/>
    <w:basedOn w:val="Normal"/>
    <w:link w:val="CommentTextChar"/>
    <w:semiHidden/>
    <w:unhideWhenUsed/>
    <w:rsid w:val="004C6A37"/>
    <w:rPr>
      <w:sz w:val="20"/>
      <w:szCs w:val="20"/>
    </w:rPr>
  </w:style>
  <w:style w:type="character" w:customStyle="1" w:styleId="CommentTextChar">
    <w:name w:val="Comment Text Char"/>
    <w:basedOn w:val="DefaultParagraphFont"/>
    <w:link w:val="CommentText"/>
    <w:semiHidden/>
    <w:rsid w:val="004C6A37"/>
  </w:style>
  <w:style w:type="paragraph" w:styleId="CommentSubject">
    <w:name w:val="annotation subject"/>
    <w:basedOn w:val="CommentText"/>
    <w:next w:val="CommentText"/>
    <w:link w:val="CommentSubjectChar"/>
    <w:semiHidden/>
    <w:unhideWhenUsed/>
    <w:rsid w:val="004C6A37"/>
    <w:rPr>
      <w:b/>
      <w:bCs/>
    </w:rPr>
  </w:style>
  <w:style w:type="character" w:customStyle="1" w:styleId="CommentSubjectChar">
    <w:name w:val="Comment Subject Char"/>
    <w:basedOn w:val="CommentTextChar"/>
    <w:link w:val="CommentSubject"/>
    <w:semiHidden/>
    <w:rsid w:val="004C6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BA - SB01282 (Committee Report (Unamended))</vt:lpstr>
    </vt:vector>
  </TitlesOfParts>
  <Company>State of Texas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26869</dc:subject>
  <dc:creator>State of Texas</dc:creator>
  <dc:description>SB 1282 by Hancock-(H)State Affairs</dc:description>
  <cp:lastModifiedBy>Damian Duarte</cp:lastModifiedBy>
  <cp:revision>2</cp:revision>
  <cp:lastPrinted>2003-11-26T17:21:00Z</cp:lastPrinted>
  <dcterms:created xsi:type="dcterms:W3CDTF">2021-05-18T22:42:00Z</dcterms:created>
  <dcterms:modified xsi:type="dcterms:W3CDTF">2021-05-18T22:42:00Z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21.134.763</vt:lpwstr>
  </property>
</Properties>
</file>