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D6F6C" w14:paraId="78477805" w14:textId="77777777" w:rsidTr="00345119">
        <w:tc>
          <w:tcPr>
            <w:tcW w:w="9576" w:type="dxa"/>
            <w:noWrap/>
          </w:tcPr>
          <w:p w14:paraId="51BA6F2A" w14:textId="77777777" w:rsidR="008423E4" w:rsidRPr="0022177D" w:rsidRDefault="00D15DE6" w:rsidP="00B67EF8">
            <w:pPr>
              <w:pStyle w:val="Heading1"/>
            </w:pPr>
            <w:bookmarkStart w:id="0" w:name="_GoBack"/>
            <w:bookmarkEnd w:id="0"/>
            <w:r w:rsidRPr="00631897">
              <w:t>BILL ANALYSIS</w:t>
            </w:r>
          </w:p>
        </w:tc>
      </w:tr>
    </w:tbl>
    <w:p w14:paraId="68D448E2" w14:textId="77777777" w:rsidR="008423E4" w:rsidRPr="0022177D" w:rsidRDefault="008423E4" w:rsidP="00B67EF8">
      <w:pPr>
        <w:jc w:val="center"/>
      </w:pPr>
    </w:p>
    <w:p w14:paraId="32FCE3B0" w14:textId="77777777" w:rsidR="008423E4" w:rsidRPr="00B31F0E" w:rsidRDefault="008423E4" w:rsidP="00B67EF8"/>
    <w:p w14:paraId="2AB7ABC2" w14:textId="77777777" w:rsidR="008423E4" w:rsidRPr="00742794" w:rsidRDefault="008423E4" w:rsidP="00B67EF8">
      <w:pPr>
        <w:tabs>
          <w:tab w:val="right" w:pos="9360"/>
        </w:tabs>
      </w:pPr>
    </w:p>
    <w:tbl>
      <w:tblPr>
        <w:tblW w:w="0" w:type="auto"/>
        <w:tblLayout w:type="fixed"/>
        <w:tblLook w:val="01E0" w:firstRow="1" w:lastRow="1" w:firstColumn="1" w:lastColumn="1" w:noHBand="0" w:noVBand="0"/>
      </w:tblPr>
      <w:tblGrid>
        <w:gridCol w:w="9576"/>
      </w:tblGrid>
      <w:tr w:rsidR="00BD6F6C" w14:paraId="689C8D71" w14:textId="77777777" w:rsidTr="00345119">
        <w:tc>
          <w:tcPr>
            <w:tcW w:w="9576" w:type="dxa"/>
          </w:tcPr>
          <w:p w14:paraId="6344FCA1" w14:textId="77777777" w:rsidR="008423E4" w:rsidRPr="00861995" w:rsidRDefault="00D15DE6" w:rsidP="00B67EF8">
            <w:pPr>
              <w:jc w:val="right"/>
            </w:pPr>
            <w:r>
              <w:t>S.B. 1295</w:t>
            </w:r>
          </w:p>
        </w:tc>
      </w:tr>
      <w:tr w:rsidR="00BD6F6C" w14:paraId="50B35470" w14:textId="77777777" w:rsidTr="00345119">
        <w:tc>
          <w:tcPr>
            <w:tcW w:w="9576" w:type="dxa"/>
          </w:tcPr>
          <w:p w14:paraId="58EB29E6" w14:textId="77777777" w:rsidR="008423E4" w:rsidRPr="00861995" w:rsidRDefault="00D15DE6" w:rsidP="00B67EF8">
            <w:pPr>
              <w:jc w:val="right"/>
            </w:pPr>
            <w:r>
              <w:t xml:space="preserve">By: </w:t>
            </w:r>
            <w:r w:rsidR="00692A4E">
              <w:t>Creighton</w:t>
            </w:r>
          </w:p>
        </w:tc>
      </w:tr>
      <w:tr w:rsidR="00BD6F6C" w14:paraId="4C59B155" w14:textId="77777777" w:rsidTr="00345119">
        <w:tc>
          <w:tcPr>
            <w:tcW w:w="9576" w:type="dxa"/>
          </w:tcPr>
          <w:p w14:paraId="0ABB3E82" w14:textId="77777777" w:rsidR="008423E4" w:rsidRPr="00861995" w:rsidRDefault="00D15DE6" w:rsidP="00B67EF8">
            <w:pPr>
              <w:jc w:val="right"/>
            </w:pPr>
            <w:r>
              <w:t>Higher Education</w:t>
            </w:r>
          </w:p>
        </w:tc>
      </w:tr>
      <w:tr w:rsidR="00BD6F6C" w14:paraId="7697B51E" w14:textId="77777777" w:rsidTr="00345119">
        <w:tc>
          <w:tcPr>
            <w:tcW w:w="9576" w:type="dxa"/>
          </w:tcPr>
          <w:p w14:paraId="27F4D4E2" w14:textId="77777777" w:rsidR="008423E4" w:rsidRDefault="00D15DE6" w:rsidP="00B67EF8">
            <w:pPr>
              <w:jc w:val="right"/>
            </w:pPr>
            <w:r>
              <w:t>Committee Report (Unamended)</w:t>
            </w:r>
          </w:p>
        </w:tc>
      </w:tr>
    </w:tbl>
    <w:p w14:paraId="350C49FE" w14:textId="77777777" w:rsidR="008423E4" w:rsidRDefault="008423E4" w:rsidP="00B67EF8">
      <w:pPr>
        <w:tabs>
          <w:tab w:val="right" w:pos="9360"/>
        </w:tabs>
      </w:pPr>
    </w:p>
    <w:p w14:paraId="337F661F" w14:textId="77777777" w:rsidR="008423E4" w:rsidRDefault="008423E4" w:rsidP="00B67EF8"/>
    <w:p w14:paraId="397D8CBA" w14:textId="77777777" w:rsidR="008423E4" w:rsidRDefault="008423E4" w:rsidP="00B67EF8"/>
    <w:tbl>
      <w:tblPr>
        <w:tblW w:w="0" w:type="auto"/>
        <w:tblCellMar>
          <w:left w:w="115" w:type="dxa"/>
          <w:right w:w="115" w:type="dxa"/>
        </w:tblCellMar>
        <w:tblLook w:val="01E0" w:firstRow="1" w:lastRow="1" w:firstColumn="1" w:lastColumn="1" w:noHBand="0" w:noVBand="0"/>
      </w:tblPr>
      <w:tblGrid>
        <w:gridCol w:w="9360"/>
      </w:tblGrid>
      <w:tr w:rsidR="00BD6F6C" w14:paraId="61E35FB1" w14:textId="77777777" w:rsidTr="00345119">
        <w:tc>
          <w:tcPr>
            <w:tcW w:w="9576" w:type="dxa"/>
          </w:tcPr>
          <w:p w14:paraId="208C90C4" w14:textId="77777777" w:rsidR="008423E4" w:rsidRPr="00A8133F" w:rsidRDefault="00D15DE6" w:rsidP="00B67EF8">
            <w:pPr>
              <w:rPr>
                <w:b/>
              </w:rPr>
            </w:pPr>
            <w:r w:rsidRPr="009C1E9A">
              <w:rPr>
                <w:b/>
                <w:u w:val="single"/>
              </w:rPr>
              <w:t>BACKGROUND AND PURPOSE</w:t>
            </w:r>
            <w:r>
              <w:rPr>
                <w:b/>
              </w:rPr>
              <w:t xml:space="preserve"> </w:t>
            </w:r>
          </w:p>
          <w:p w14:paraId="4B9A76D6" w14:textId="77777777" w:rsidR="008423E4" w:rsidRDefault="008423E4" w:rsidP="00B67EF8"/>
          <w:p w14:paraId="7FCDBC17" w14:textId="187DC1C2" w:rsidR="008423E4" w:rsidRDefault="00D15DE6" w:rsidP="00B67EF8">
            <w:pPr>
              <w:pStyle w:val="Header"/>
              <w:tabs>
                <w:tab w:val="clear" w:pos="4320"/>
                <w:tab w:val="clear" w:pos="8640"/>
              </w:tabs>
              <w:jc w:val="both"/>
            </w:pPr>
            <w:r>
              <w:t xml:space="preserve">There have been calls to bolster funding to support comprehensive regional universities in Texas, which </w:t>
            </w:r>
            <w:r w:rsidR="00D41576">
              <w:t xml:space="preserve">educate almost 40 percent of the state's university students and </w:t>
            </w:r>
            <w:r>
              <w:t xml:space="preserve">serve a growing population of at-risk students who often require additional academic support. </w:t>
            </w:r>
            <w:r w:rsidR="00AB0818">
              <w:t>S.B. 1295</w:t>
            </w:r>
            <w:r>
              <w:t xml:space="preserve"> creates an outcomes-based funding model focused on student success for providing fundin</w:t>
            </w:r>
            <w:r>
              <w:t>g to each institution of higher education that is designated as a doctoral, comprehensive, or master's university based on the number of degrees awarded to at</w:t>
            </w:r>
            <w:r>
              <w:noBreakHyphen/>
              <w:t>risk students by each institution in the three preceding state fiscal years.</w:t>
            </w:r>
          </w:p>
          <w:p w14:paraId="12B5C215" w14:textId="77777777" w:rsidR="008423E4" w:rsidRPr="00E26B13" w:rsidRDefault="008423E4" w:rsidP="00B67EF8">
            <w:pPr>
              <w:rPr>
                <w:b/>
              </w:rPr>
            </w:pPr>
          </w:p>
        </w:tc>
      </w:tr>
      <w:tr w:rsidR="00BD6F6C" w14:paraId="3696EB0C" w14:textId="77777777" w:rsidTr="00345119">
        <w:tc>
          <w:tcPr>
            <w:tcW w:w="9576" w:type="dxa"/>
          </w:tcPr>
          <w:p w14:paraId="6ADAEEC0" w14:textId="77777777" w:rsidR="0017725B" w:rsidRDefault="00D15DE6" w:rsidP="00B67EF8">
            <w:pPr>
              <w:rPr>
                <w:b/>
                <w:u w:val="single"/>
              </w:rPr>
            </w:pPr>
            <w:r>
              <w:rPr>
                <w:b/>
                <w:u w:val="single"/>
              </w:rPr>
              <w:t>CRIMINAL JUSTICE I</w:t>
            </w:r>
            <w:r>
              <w:rPr>
                <w:b/>
                <w:u w:val="single"/>
              </w:rPr>
              <w:t>MPACT</w:t>
            </w:r>
          </w:p>
          <w:p w14:paraId="6C0639B4" w14:textId="77777777" w:rsidR="0017725B" w:rsidRDefault="0017725B" w:rsidP="00B67EF8">
            <w:pPr>
              <w:rPr>
                <w:b/>
                <w:u w:val="single"/>
              </w:rPr>
            </w:pPr>
          </w:p>
          <w:p w14:paraId="45E09544" w14:textId="77777777" w:rsidR="00692A4E" w:rsidRPr="00692A4E" w:rsidRDefault="00D15DE6" w:rsidP="00B67EF8">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or </w:t>
            </w:r>
            <w:r>
              <w:t>mandatory supervision.</w:t>
            </w:r>
          </w:p>
          <w:p w14:paraId="53CB3AAD" w14:textId="77777777" w:rsidR="0017725B" w:rsidRPr="0017725B" w:rsidRDefault="0017725B" w:rsidP="00B67EF8">
            <w:pPr>
              <w:rPr>
                <w:b/>
                <w:u w:val="single"/>
              </w:rPr>
            </w:pPr>
          </w:p>
        </w:tc>
      </w:tr>
      <w:tr w:rsidR="00BD6F6C" w14:paraId="6FA1D804" w14:textId="77777777" w:rsidTr="00345119">
        <w:tc>
          <w:tcPr>
            <w:tcW w:w="9576" w:type="dxa"/>
          </w:tcPr>
          <w:p w14:paraId="56C3E9EC" w14:textId="77777777" w:rsidR="008423E4" w:rsidRPr="00A8133F" w:rsidRDefault="00D15DE6" w:rsidP="00B67EF8">
            <w:pPr>
              <w:rPr>
                <w:b/>
              </w:rPr>
            </w:pPr>
            <w:r w:rsidRPr="009C1E9A">
              <w:rPr>
                <w:b/>
                <w:u w:val="single"/>
              </w:rPr>
              <w:t>RULEMAKING AUTHORITY</w:t>
            </w:r>
            <w:r>
              <w:rPr>
                <w:b/>
              </w:rPr>
              <w:t xml:space="preserve"> </w:t>
            </w:r>
          </w:p>
          <w:p w14:paraId="34F1F646" w14:textId="77777777" w:rsidR="008423E4" w:rsidRDefault="008423E4" w:rsidP="00B67EF8"/>
          <w:p w14:paraId="4181B8B7" w14:textId="77777777" w:rsidR="00692A4E" w:rsidRDefault="00D15DE6" w:rsidP="00B67EF8">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89823CA" w14:textId="77777777" w:rsidR="008423E4" w:rsidRPr="00E21FDC" w:rsidRDefault="008423E4" w:rsidP="00B67EF8">
            <w:pPr>
              <w:rPr>
                <w:b/>
              </w:rPr>
            </w:pPr>
          </w:p>
        </w:tc>
      </w:tr>
      <w:tr w:rsidR="00BD6F6C" w14:paraId="5B24A9DD" w14:textId="77777777" w:rsidTr="00345119">
        <w:tc>
          <w:tcPr>
            <w:tcW w:w="9576" w:type="dxa"/>
          </w:tcPr>
          <w:p w14:paraId="2EE91747" w14:textId="77777777" w:rsidR="008423E4" w:rsidRPr="00A8133F" w:rsidRDefault="00D15DE6" w:rsidP="00B67EF8">
            <w:pPr>
              <w:rPr>
                <w:b/>
              </w:rPr>
            </w:pPr>
            <w:r w:rsidRPr="009C1E9A">
              <w:rPr>
                <w:b/>
                <w:u w:val="single"/>
              </w:rPr>
              <w:t>ANALYSIS</w:t>
            </w:r>
            <w:r>
              <w:rPr>
                <w:b/>
              </w:rPr>
              <w:t xml:space="preserve"> </w:t>
            </w:r>
          </w:p>
          <w:p w14:paraId="3F2EC227" w14:textId="77777777" w:rsidR="008423E4" w:rsidRDefault="008423E4" w:rsidP="00B67EF8"/>
          <w:p w14:paraId="7FDB3751" w14:textId="2B7EEA26" w:rsidR="00692A4E" w:rsidRDefault="00D15DE6" w:rsidP="00B67EF8">
            <w:pPr>
              <w:pStyle w:val="Header"/>
              <w:tabs>
                <w:tab w:val="clear" w:pos="4320"/>
                <w:tab w:val="clear" w:pos="8640"/>
              </w:tabs>
              <w:jc w:val="both"/>
            </w:pPr>
            <w:r>
              <w:t xml:space="preserve">S.B. 1295 amends the Education Code to provide for the allocation of funding to each eligible institution of higher education </w:t>
            </w:r>
            <w:r w:rsidRPr="00522E70">
              <w:t xml:space="preserve">designated as a doctoral, comprehensive, or master's university under </w:t>
            </w:r>
            <w:r>
              <w:t>the Texas Higher Education Coordinating Board (THECB) accoun</w:t>
            </w:r>
            <w:r>
              <w:t>tability system. The bill establishes the purposes of its provisions and entitles an eligible institution to receive for each state fiscal biennium an amount equal to the sum of the following:</w:t>
            </w:r>
          </w:p>
          <w:p w14:paraId="17E626DF" w14:textId="77777777" w:rsidR="00692A4E" w:rsidRDefault="00D15DE6" w:rsidP="00B67EF8">
            <w:pPr>
              <w:pStyle w:val="Header"/>
              <w:numPr>
                <w:ilvl w:val="0"/>
                <w:numId w:val="1"/>
              </w:numPr>
              <w:jc w:val="both"/>
            </w:pPr>
            <w:r>
              <w:t xml:space="preserve">a base amount of $500,000 or a greater base amount provided by </w:t>
            </w:r>
            <w:r>
              <w:t>appropriation; and</w:t>
            </w:r>
          </w:p>
          <w:p w14:paraId="736E0A02" w14:textId="77777777" w:rsidR="00692A4E" w:rsidRDefault="00D15DE6" w:rsidP="00B67EF8">
            <w:pPr>
              <w:pStyle w:val="Header"/>
              <w:numPr>
                <w:ilvl w:val="0"/>
                <w:numId w:val="1"/>
              </w:numPr>
              <w:tabs>
                <w:tab w:val="clear" w:pos="4320"/>
                <w:tab w:val="clear" w:pos="8640"/>
              </w:tabs>
              <w:jc w:val="both"/>
            </w:pPr>
            <w:r>
              <w:t>the product of $1,000 or a greater amount provided by appropriation and the average number of at-risk students awarded a degree by the institution each year during the three state fiscal years preceding the biennium.</w:t>
            </w:r>
          </w:p>
          <w:p w14:paraId="5F82D620" w14:textId="77777777" w:rsidR="00692A4E" w:rsidRDefault="00D15DE6" w:rsidP="00B67EF8">
            <w:pPr>
              <w:pStyle w:val="Header"/>
              <w:tabs>
                <w:tab w:val="clear" w:pos="4320"/>
                <w:tab w:val="clear" w:pos="8640"/>
              </w:tabs>
              <w:jc w:val="both"/>
            </w:pPr>
            <w:r>
              <w:t xml:space="preserve">The bill authorizes </w:t>
            </w:r>
            <w:r>
              <w:t>an alternative allocation method for this funding to be provided by appropriation. The bill entitles an eligible institution to receive funding beginning with the first state fiscal biennium for which money is appropriated for the purpose of the bill's pro</w:t>
            </w:r>
            <w:r>
              <w:t xml:space="preserve">visions. </w:t>
            </w:r>
          </w:p>
          <w:p w14:paraId="395D7CF1" w14:textId="77777777" w:rsidR="00692A4E" w:rsidRDefault="00692A4E" w:rsidP="00B67EF8">
            <w:pPr>
              <w:pStyle w:val="Header"/>
              <w:tabs>
                <w:tab w:val="clear" w:pos="4320"/>
                <w:tab w:val="clear" w:pos="8640"/>
              </w:tabs>
              <w:jc w:val="both"/>
            </w:pPr>
          </w:p>
          <w:p w14:paraId="528EF1EE" w14:textId="1C7697F5" w:rsidR="009C36CD" w:rsidRPr="009C36CD" w:rsidRDefault="00D15DE6" w:rsidP="00B67EF8">
            <w:pPr>
              <w:pStyle w:val="Header"/>
              <w:tabs>
                <w:tab w:val="clear" w:pos="4320"/>
                <w:tab w:val="clear" w:pos="8640"/>
              </w:tabs>
              <w:jc w:val="both"/>
            </w:pPr>
            <w:r>
              <w:t>S.B. 1295 requires the THECB, in consultation with a representative group of eligible institutions, to conduct a study on the funding method established by the bill to determine its effectiveness in allocating state funds fairly and equitably an</w:t>
            </w:r>
            <w:r>
              <w:t xml:space="preserve">d in promoting student success at eligible institutions. The bill requires the THECB, not later than September 1, 2022, to submit to the governor and the Legislative Budget Board a report on the results of the study and any recommendations for legislative </w:t>
            </w:r>
            <w:r>
              <w:t xml:space="preserve">or other action. The bill's provisions relating to the study and report expire September 1, 2023.     </w:t>
            </w:r>
          </w:p>
          <w:p w14:paraId="4BC43903" w14:textId="77777777" w:rsidR="008423E4" w:rsidRDefault="008423E4" w:rsidP="00B67EF8">
            <w:pPr>
              <w:rPr>
                <w:b/>
              </w:rPr>
            </w:pPr>
          </w:p>
          <w:p w14:paraId="50E42322" w14:textId="494DE12C" w:rsidR="00B67EF8" w:rsidRPr="00835628" w:rsidRDefault="00B67EF8" w:rsidP="00B67EF8">
            <w:pPr>
              <w:rPr>
                <w:b/>
              </w:rPr>
            </w:pPr>
          </w:p>
        </w:tc>
      </w:tr>
      <w:tr w:rsidR="00BD6F6C" w14:paraId="2672ED87" w14:textId="77777777" w:rsidTr="00345119">
        <w:tc>
          <w:tcPr>
            <w:tcW w:w="9576" w:type="dxa"/>
          </w:tcPr>
          <w:p w14:paraId="28956D4F" w14:textId="77777777" w:rsidR="008423E4" w:rsidRPr="00A8133F" w:rsidRDefault="00D15DE6" w:rsidP="00B67EF8">
            <w:pPr>
              <w:rPr>
                <w:b/>
              </w:rPr>
            </w:pPr>
            <w:r w:rsidRPr="009C1E9A">
              <w:rPr>
                <w:b/>
                <w:u w:val="single"/>
              </w:rPr>
              <w:t>EFFECTIVE DATE</w:t>
            </w:r>
            <w:r>
              <w:rPr>
                <w:b/>
              </w:rPr>
              <w:t xml:space="preserve"> </w:t>
            </w:r>
          </w:p>
          <w:p w14:paraId="078F4A5E" w14:textId="77777777" w:rsidR="008423E4" w:rsidRDefault="008423E4" w:rsidP="00B67EF8"/>
          <w:p w14:paraId="1F24A362" w14:textId="77777777" w:rsidR="008423E4" w:rsidRPr="003624F2" w:rsidRDefault="00D15DE6" w:rsidP="00B67EF8">
            <w:pPr>
              <w:pStyle w:val="Header"/>
              <w:tabs>
                <w:tab w:val="clear" w:pos="4320"/>
                <w:tab w:val="clear" w:pos="8640"/>
              </w:tabs>
              <w:jc w:val="both"/>
            </w:pPr>
            <w:r>
              <w:t>September 1, 2021.</w:t>
            </w:r>
          </w:p>
          <w:p w14:paraId="5B9CB905" w14:textId="77777777" w:rsidR="008423E4" w:rsidRPr="00233FDB" w:rsidRDefault="008423E4" w:rsidP="00B67EF8">
            <w:pPr>
              <w:rPr>
                <w:b/>
              </w:rPr>
            </w:pPr>
          </w:p>
        </w:tc>
      </w:tr>
    </w:tbl>
    <w:p w14:paraId="220F1F6C" w14:textId="77777777" w:rsidR="008423E4" w:rsidRPr="00BE0E75" w:rsidRDefault="008423E4" w:rsidP="00B67EF8">
      <w:pPr>
        <w:jc w:val="both"/>
        <w:rPr>
          <w:rFonts w:ascii="Arial" w:hAnsi="Arial"/>
          <w:sz w:val="16"/>
          <w:szCs w:val="16"/>
        </w:rPr>
      </w:pPr>
    </w:p>
    <w:p w14:paraId="393541BC" w14:textId="77777777" w:rsidR="004108C3" w:rsidRPr="008423E4" w:rsidRDefault="004108C3" w:rsidP="00B67EF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AAD0" w14:textId="77777777" w:rsidR="00000000" w:rsidRDefault="00D15DE6">
      <w:r>
        <w:separator/>
      </w:r>
    </w:p>
  </w:endnote>
  <w:endnote w:type="continuationSeparator" w:id="0">
    <w:p w14:paraId="16050E04" w14:textId="77777777" w:rsidR="00000000" w:rsidRDefault="00D1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0E0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D6F6C" w14:paraId="4402728D" w14:textId="77777777" w:rsidTr="009C1E9A">
      <w:trPr>
        <w:cantSplit/>
      </w:trPr>
      <w:tc>
        <w:tcPr>
          <w:tcW w:w="0" w:type="pct"/>
        </w:tcPr>
        <w:p w14:paraId="75BA5B51" w14:textId="77777777" w:rsidR="00137D90" w:rsidRDefault="00137D90" w:rsidP="009C1E9A">
          <w:pPr>
            <w:pStyle w:val="Footer"/>
            <w:tabs>
              <w:tab w:val="clear" w:pos="8640"/>
              <w:tab w:val="right" w:pos="9360"/>
            </w:tabs>
          </w:pPr>
        </w:p>
      </w:tc>
      <w:tc>
        <w:tcPr>
          <w:tcW w:w="2395" w:type="pct"/>
        </w:tcPr>
        <w:p w14:paraId="094E3960" w14:textId="77777777" w:rsidR="00137D90" w:rsidRDefault="00137D90" w:rsidP="009C1E9A">
          <w:pPr>
            <w:pStyle w:val="Footer"/>
            <w:tabs>
              <w:tab w:val="clear" w:pos="8640"/>
              <w:tab w:val="right" w:pos="9360"/>
            </w:tabs>
          </w:pPr>
        </w:p>
        <w:p w14:paraId="18FBD099" w14:textId="77777777" w:rsidR="001A4310" w:rsidRDefault="001A4310" w:rsidP="009C1E9A">
          <w:pPr>
            <w:pStyle w:val="Footer"/>
            <w:tabs>
              <w:tab w:val="clear" w:pos="8640"/>
              <w:tab w:val="right" w:pos="9360"/>
            </w:tabs>
          </w:pPr>
        </w:p>
        <w:p w14:paraId="0F7E4451" w14:textId="77777777" w:rsidR="00137D90" w:rsidRDefault="00137D90" w:rsidP="009C1E9A">
          <w:pPr>
            <w:pStyle w:val="Footer"/>
            <w:tabs>
              <w:tab w:val="clear" w:pos="8640"/>
              <w:tab w:val="right" w:pos="9360"/>
            </w:tabs>
          </w:pPr>
        </w:p>
      </w:tc>
      <w:tc>
        <w:tcPr>
          <w:tcW w:w="2453" w:type="pct"/>
        </w:tcPr>
        <w:p w14:paraId="7A0F9CE2" w14:textId="77777777" w:rsidR="00137D90" w:rsidRDefault="00137D90" w:rsidP="009C1E9A">
          <w:pPr>
            <w:pStyle w:val="Footer"/>
            <w:tabs>
              <w:tab w:val="clear" w:pos="8640"/>
              <w:tab w:val="right" w:pos="9360"/>
            </w:tabs>
            <w:jc w:val="right"/>
          </w:pPr>
        </w:p>
      </w:tc>
    </w:tr>
    <w:tr w:rsidR="00BD6F6C" w14:paraId="3E3A8AD0" w14:textId="77777777" w:rsidTr="009C1E9A">
      <w:trPr>
        <w:cantSplit/>
      </w:trPr>
      <w:tc>
        <w:tcPr>
          <w:tcW w:w="0" w:type="pct"/>
        </w:tcPr>
        <w:p w14:paraId="2CF16D28" w14:textId="77777777" w:rsidR="00EC379B" w:rsidRDefault="00EC379B" w:rsidP="009C1E9A">
          <w:pPr>
            <w:pStyle w:val="Footer"/>
            <w:tabs>
              <w:tab w:val="clear" w:pos="8640"/>
              <w:tab w:val="right" w:pos="9360"/>
            </w:tabs>
          </w:pPr>
        </w:p>
      </w:tc>
      <w:tc>
        <w:tcPr>
          <w:tcW w:w="2395" w:type="pct"/>
        </w:tcPr>
        <w:p w14:paraId="44F55A84" w14:textId="77777777" w:rsidR="00EC379B" w:rsidRPr="009C1E9A" w:rsidRDefault="00D15DE6" w:rsidP="009C1E9A">
          <w:pPr>
            <w:pStyle w:val="Footer"/>
            <w:tabs>
              <w:tab w:val="clear" w:pos="8640"/>
              <w:tab w:val="right" w:pos="9360"/>
            </w:tabs>
            <w:rPr>
              <w:rFonts w:ascii="Shruti" w:hAnsi="Shruti"/>
              <w:sz w:val="22"/>
            </w:rPr>
          </w:pPr>
          <w:r>
            <w:rPr>
              <w:rFonts w:ascii="Shruti" w:hAnsi="Shruti"/>
              <w:sz w:val="22"/>
            </w:rPr>
            <w:t>87R 25590</w:t>
          </w:r>
        </w:p>
      </w:tc>
      <w:tc>
        <w:tcPr>
          <w:tcW w:w="2453" w:type="pct"/>
        </w:tcPr>
        <w:p w14:paraId="139E62A2" w14:textId="6AEA48E9" w:rsidR="00EC379B" w:rsidRDefault="00D15DE6" w:rsidP="009C1E9A">
          <w:pPr>
            <w:pStyle w:val="Footer"/>
            <w:tabs>
              <w:tab w:val="clear" w:pos="8640"/>
              <w:tab w:val="right" w:pos="9360"/>
            </w:tabs>
            <w:jc w:val="right"/>
          </w:pPr>
          <w:r>
            <w:fldChar w:fldCharType="begin"/>
          </w:r>
          <w:r>
            <w:instrText xml:space="preserve"> DOCPROPERTY  OTID  \* MERGEFORMAT </w:instrText>
          </w:r>
          <w:r>
            <w:fldChar w:fldCharType="separate"/>
          </w:r>
          <w:r w:rsidR="00DB4130">
            <w:t>21.130.603</w:t>
          </w:r>
          <w:r>
            <w:fldChar w:fldCharType="end"/>
          </w:r>
        </w:p>
      </w:tc>
    </w:tr>
    <w:tr w:rsidR="00BD6F6C" w14:paraId="38E1C5A7" w14:textId="77777777" w:rsidTr="009C1E9A">
      <w:trPr>
        <w:cantSplit/>
      </w:trPr>
      <w:tc>
        <w:tcPr>
          <w:tcW w:w="0" w:type="pct"/>
        </w:tcPr>
        <w:p w14:paraId="66EC1C9C" w14:textId="77777777" w:rsidR="00EC379B" w:rsidRDefault="00EC379B" w:rsidP="009C1E9A">
          <w:pPr>
            <w:pStyle w:val="Footer"/>
            <w:tabs>
              <w:tab w:val="clear" w:pos="4320"/>
              <w:tab w:val="clear" w:pos="8640"/>
              <w:tab w:val="left" w:pos="2865"/>
            </w:tabs>
          </w:pPr>
        </w:p>
      </w:tc>
      <w:tc>
        <w:tcPr>
          <w:tcW w:w="2395" w:type="pct"/>
        </w:tcPr>
        <w:p w14:paraId="0B127EB7"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F93F77D" w14:textId="77777777" w:rsidR="00EC379B" w:rsidRDefault="00EC379B" w:rsidP="006D504F">
          <w:pPr>
            <w:pStyle w:val="Footer"/>
            <w:rPr>
              <w:rStyle w:val="PageNumber"/>
            </w:rPr>
          </w:pPr>
        </w:p>
        <w:p w14:paraId="4A8A5B6A" w14:textId="77777777" w:rsidR="00EC379B" w:rsidRDefault="00EC379B" w:rsidP="009C1E9A">
          <w:pPr>
            <w:pStyle w:val="Footer"/>
            <w:tabs>
              <w:tab w:val="clear" w:pos="8640"/>
              <w:tab w:val="right" w:pos="9360"/>
            </w:tabs>
            <w:jc w:val="right"/>
          </w:pPr>
        </w:p>
      </w:tc>
    </w:tr>
    <w:tr w:rsidR="00BD6F6C" w14:paraId="2526ECEE" w14:textId="77777777" w:rsidTr="009C1E9A">
      <w:trPr>
        <w:cantSplit/>
        <w:trHeight w:val="323"/>
      </w:trPr>
      <w:tc>
        <w:tcPr>
          <w:tcW w:w="0" w:type="pct"/>
          <w:gridSpan w:val="3"/>
        </w:tcPr>
        <w:p w14:paraId="486870D5" w14:textId="616941E9" w:rsidR="00EC379B" w:rsidRDefault="00D15D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67EF8">
            <w:rPr>
              <w:rStyle w:val="PageNumber"/>
              <w:noProof/>
            </w:rPr>
            <w:t>1</w:t>
          </w:r>
          <w:r>
            <w:rPr>
              <w:rStyle w:val="PageNumber"/>
            </w:rPr>
            <w:fldChar w:fldCharType="end"/>
          </w:r>
        </w:p>
        <w:p w14:paraId="69BD7B0F" w14:textId="77777777" w:rsidR="00EC379B" w:rsidRDefault="00EC379B" w:rsidP="009C1E9A">
          <w:pPr>
            <w:pStyle w:val="Footer"/>
            <w:tabs>
              <w:tab w:val="clear" w:pos="8640"/>
              <w:tab w:val="right" w:pos="9360"/>
            </w:tabs>
            <w:jc w:val="center"/>
          </w:pPr>
        </w:p>
      </w:tc>
    </w:tr>
  </w:tbl>
  <w:p w14:paraId="615C315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86C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F4B4" w14:textId="77777777" w:rsidR="00000000" w:rsidRDefault="00D15DE6">
      <w:r>
        <w:separator/>
      </w:r>
    </w:p>
  </w:footnote>
  <w:footnote w:type="continuationSeparator" w:id="0">
    <w:p w14:paraId="19D92210" w14:textId="77777777" w:rsidR="00000000" w:rsidRDefault="00D1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B1E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E69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2833"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1FF4"/>
    <w:multiLevelType w:val="hybridMultilevel"/>
    <w:tmpl w:val="206E7108"/>
    <w:lvl w:ilvl="0" w:tplc="F376AB3E">
      <w:start w:val="1"/>
      <w:numFmt w:val="bullet"/>
      <w:lvlText w:val=""/>
      <w:lvlJc w:val="left"/>
      <w:pPr>
        <w:tabs>
          <w:tab w:val="num" w:pos="720"/>
        </w:tabs>
        <w:ind w:left="720" w:hanging="360"/>
      </w:pPr>
      <w:rPr>
        <w:rFonts w:ascii="Symbol" w:hAnsi="Symbol" w:hint="default"/>
      </w:rPr>
    </w:lvl>
    <w:lvl w:ilvl="1" w:tplc="0D666E2A" w:tentative="1">
      <w:start w:val="1"/>
      <w:numFmt w:val="bullet"/>
      <w:lvlText w:val="o"/>
      <w:lvlJc w:val="left"/>
      <w:pPr>
        <w:ind w:left="1440" w:hanging="360"/>
      </w:pPr>
      <w:rPr>
        <w:rFonts w:ascii="Courier New" w:hAnsi="Courier New" w:cs="Courier New" w:hint="default"/>
      </w:rPr>
    </w:lvl>
    <w:lvl w:ilvl="2" w:tplc="AC1C5700" w:tentative="1">
      <w:start w:val="1"/>
      <w:numFmt w:val="bullet"/>
      <w:lvlText w:val=""/>
      <w:lvlJc w:val="left"/>
      <w:pPr>
        <w:ind w:left="2160" w:hanging="360"/>
      </w:pPr>
      <w:rPr>
        <w:rFonts w:ascii="Wingdings" w:hAnsi="Wingdings" w:hint="default"/>
      </w:rPr>
    </w:lvl>
    <w:lvl w:ilvl="3" w:tplc="2660B9B2" w:tentative="1">
      <w:start w:val="1"/>
      <w:numFmt w:val="bullet"/>
      <w:lvlText w:val=""/>
      <w:lvlJc w:val="left"/>
      <w:pPr>
        <w:ind w:left="2880" w:hanging="360"/>
      </w:pPr>
      <w:rPr>
        <w:rFonts w:ascii="Symbol" w:hAnsi="Symbol" w:hint="default"/>
      </w:rPr>
    </w:lvl>
    <w:lvl w:ilvl="4" w:tplc="78AA923E" w:tentative="1">
      <w:start w:val="1"/>
      <w:numFmt w:val="bullet"/>
      <w:lvlText w:val="o"/>
      <w:lvlJc w:val="left"/>
      <w:pPr>
        <w:ind w:left="3600" w:hanging="360"/>
      </w:pPr>
      <w:rPr>
        <w:rFonts w:ascii="Courier New" w:hAnsi="Courier New" w:cs="Courier New" w:hint="default"/>
      </w:rPr>
    </w:lvl>
    <w:lvl w:ilvl="5" w:tplc="D12C03EC" w:tentative="1">
      <w:start w:val="1"/>
      <w:numFmt w:val="bullet"/>
      <w:lvlText w:val=""/>
      <w:lvlJc w:val="left"/>
      <w:pPr>
        <w:ind w:left="4320" w:hanging="360"/>
      </w:pPr>
      <w:rPr>
        <w:rFonts w:ascii="Wingdings" w:hAnsi="Wingdings" w:hint="default"/>
      </w:rPr>
    </w:lvl>
    <w:lvl w:ilvl="6" w:tplc="D02A6CF0" w:tentative="1">
      <w:start w:val="1"/>
      <w:numFmt w:val="bullet"/>
      <w:lvlText w:val=""/>
      <w:lvlJc w:val="left"/>
      <w:pPr>
        <w:ind w:left="5040" w:hanging="360"/>
      </w:pPr>
      <w:rPr>
        <w:rFonts w:ascii="Symbol" w:hAnsi="Symbol" w:hint="default"/>
      </w:rPr>
    </w:lvl>
    <w:lvl w:ilvl="7" w:tplc="A29A6ABA" w:tentative="1">
      <w:start w:val="1"/>
      <w:numFmt w:val="bullet"/>
      <w:lvlText w:val="o"/>
      <w:lvlJc w:val="left"/>
      <w:pPr>
        <w:ind w:left="5760" w:hanging="360"/>
      </w:pPr>
      <w:rPr>
        <w:rFonts w:ascii="Courier New" w:hAnsi="Courier New" w:cs="Courier New" w:hint="default"/>
      </w:rPr>
    </w:lvl>
    <w:lvl w:ilvl="8" w:tplc="BDBC65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4E"/>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2868"/>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0F33"/>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960"/>
    <w:rsid w:val="00515466"/>
    <w:rsid w:val="005154F7"/>
    <w:rsid w:val="005159DE"/>
    <w:rsid w:val="00522E70"/>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378"/>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2A4E"/>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1B6B"/>
    <w:rsid w:val="00AA228B"/>
    <w:rsid w:val="00AA597A"/>
    <w:rsid w:val="00AA7E52"/>
    <w:rsid w:val="00AB0818"/>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67EF8"/>
    <w:rsid w:val="00B73BB4"/>
    <w:rsid w:val="00B80532"/>
    <w:rsid w:val="00B82039"/>
    <w:rsid w:val="00B82454"/>
    <w:rsid w:val="00B90097"/>
    <w:rsid w:val="00B90999"/>
    <w:rsid w:val="00B91AD7"/>
    <w:rsid w:val="00B92D23"/>
    <w:rsid w:val="00B95BC8"/>
    <w:rsid w:val="00B96E87"/>
    <w:rsid w:val="00BA146A"/>
    <w:rsid w:val="00BA31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D6F6C"/>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DE6"/>
    <w:rsid w:val="00D22160"/>
    <w:rsid w:val="00D22172"/>
    <w:rsid w:val="00D2301B"/>
    <w:rsid w:val="00D239EE"/>
    <w:rsid w:val="00D30534"/>
    <w:rsid w:val="00D35728"/>
    <w:rsid w:val="00D37BCF"/>
    <w:rsid w:val="00D40F93"/>
    <w:rsid w:val="00D41576"/>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130"/>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16"/>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18BD"/>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025A72-4E2E-4EDF-9CB8-DDA5C6C0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92A4E"/>
    <w:rPr>
      <w:sz w:val="16"/>
      <w:szCs w:val="16"/>
    </w:rPr>
  </w:style>
  <w:style w:type="paragraph" w:styleId="CommentText">
    <w:name w:val="annotation text"/>
    <w:basedOn w:val="Normal"/>
    <w:link w:val="CommentTextChar"/>
    <w:semiHidden/>
    <w:unhideWhenUsed/>
    <w:rsid w:val="00692A4E"/>
    <w:rPr>
      <w:sz w:val="20"/>
      <w:szCs w:val="20"/>
    </w:rPr>
  </w:style>
  <w:style w:type="character" w:customStyle="1" w:styleId="CommentTextChar">
    <w:name w:val="Comment Text Char"/>
    <w:basedOn w:val="DefaultParagraphFont"/>
    <w:link w:val="CommentText"/>
    <w:semiHidden/>
    <w:rsid w:val="00692A4E"/>
  </w:style>
  <w:style w:type="paragraph" w:styleId="CommentSubject">
    <w:name w:val="annotation subject"/>
    <w:basedOn w:val="CommentText"/>
    <w:next w:val="CommentText"/>
    <w:link w:val="CommentSubjectChar"/>
    <w:semiHidden/>
    <w:unhideWhenUsed/>
    <w:rsid w:val="00692A4E"/>
    <w:rPr>
      <w:b/>
      <w:bCs/>
    </w:rPr>
  </w:style>
  <w:style w:type="character" w:customStyle="1" w:styleId="CommentSubjectChar">
    <w:name w:val="Comment Subject Char"/>
    <w:basedOn w:val="CommentTextChar"/>
    <w:link w:val="CommentSubject"/>
    <w:semiHidden/>
    <w:rsid w:val="00692A4E"/>
    <w:rPr>
      <w:b/>
      <w:bCs/>
    </w:rPr>
  </w:style>
  <w:style w:type="paragraph" w:styleId="Revision">
    <w:name w:val="Revision"/>
    <w:hidden/>
    <w:uiPriority w:val="99"/>
    <w:semiHidden/>
    <w:rsid w:val="00692A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2427</Characters>
  <Application>Microsoft Office Word</Application>
  <DocSecurity>4</DocSecurity>
  <Lines>61</Lines>
  <Paragraphs>19</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25590</dc:subject>
  <dc:creator>State of Texas</dc:creator>
  <dc:description>SB 1295 by Creighton-(H)Higher Education</dc:description>
  <cp:lastModifiedBy>Damian Duarte</cp:lastModifiedBy>
  <cp:revision>2</cp:revision>
  <cp:lastPrinted>2003-11-26T17:21:00Z</cp:lastPrinted>
  <dcterms:created xsi:type="dcterms:W3CDTF">2021-05-10T16:48:00Z</dcterms:created>
  <dcterms:modified xsi:type="dcterms:W3CDTF">2021-05-10T16:48:00Z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21.130.603</vt:lpwstr>
  </property>
</Properties>
</file>