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441EF" w14:paraId="21038203" w14:textId="77777777" w:rsidTr="00345119">
        <w:tc>
          <w:tcPr>
            <w:tcW w:w="9576" w:type="dxa"/>
            <w:noWrap/>
          </w:tcPr>
          <w:p w14:paraId="7D6B8613" w14:textId="77777777" w:rsidR="008423E4" w:rsidRPr="0022177D" w:rsidRDefault="00DD2A4F" w:rsidP="00C34D49">
            <w:pPr>
              <w:pStyle w:val="Heading1"/>
            </w:pPr>
            <w:bookmarkStart w:id="0" w:name="_GoBack"/>
            <w:bookmarkEnd w:id="0"/>
            <w:r w:rsidRPr="00631897">
              <w:t>BILL ANALYSIS</w:t>
            </w:r>
          </w:p>
        </w:tc>
      </w:tr>
    </w:tbl>
    <w:p w14:paraId="1E9F715A" w14:textId="77777777" w:rsidR="008423E4" w:rsidRPr="0022177D" w:rsidRDefault="008423E4" w:rsidP="00C34D49">
      <w:pPr>
        <w:jc w:val="center"/>
      </w:pPr>
    </w:p>
    <w:p w14:paraId="65CC4F60" w14:textId="77777777" w:rsidR="008423E4" w:rsidRPr="00B31F0E" w:rsidRDefault="008423E4" w:rsidP="00C34D49"/>
    <w:p w14:paraId="6A0E133A" w14:textId="77777777" w:rsidR="008423E4" w:rsidRPr="00742794" w:rsidRDefault="008423E4" w:rsidP="00C34D49">
      <w:pPr>
        <w:tabs>
          <w:tab w:val="right" w:pos="9360"/>
        </w:tabs>
      </w:pPr>
    </w:p>
    <w:tbl>
      <w:tblPr>
        <w:tblW w:w="0" w:type="auto"/>
        <w:tblLayout w:type="fixed"/>
        <w:tblLook w:val="01E0" w:firstRow="1" w:lastRow="1" w:firstColumn="1" w:lastColumn="1" w:noHBand="0" w:noVBand="0"/>
      </w:tblPr>
      <w:tblGrid>
        <w:gridCol w:w="9576"/>
      </w:tblGrid>
      <w:tr w:rsidR="00B441EF" w14:paraId="7FA8EEBA" w14:textId="77777777" w:rsidTr="00345119">
        <w:tc>
          <w:tcPr>
            <w:tcW w:w="9576" w:type="dxa"/>
          </w:tcPr>
          <w:p w14:paraId="390493DA" w14:textId="7DEBDC3B" w:rsidR="008423E4" w:rsidRPr="00861995" w:rsidRDefault="00DD2A4F" w:rsidP="00C34D49">
            <w:pPr>
              <w:jc w:val="right"/>
            </w:pPr>
            <w:r>
              <w:t>S.B. 1353</w:t>
            </w:r>
          </w:p>
        </w:tc>
      </w:tr>
      <w:tr w:rsidR="00B441EF" w14:paraId="11566928" w14:textId="77777777" w:rsidTr="00345119">
        <w:tc>
          <w:tcPr>
            <w:tcW w:w="9576" w:type="dxa"/>
          </w:tcPr>
          <w:p w14:paraId="0EDB624A" w14:textId="641CEE46" w:rsidR="008423E4" w:rsidRPr="00861995" w:rsidRDefault="00DD2A4F" w:rsidP="007263C7">
            <w:pPr>
              <w:jc w:val="right"/>
            </w:pPr>
            <w:r>
              <w:t xml:space="preserve">By: </w:t>
            </w:r>
            <w:r w:rsidR="007263C7">
              <w:t>Miles</w:t>
            </w:r>
          </w:p>
        </w:tc>
      </w:tr>
      <w:tr w:rsidR="00B441EF" w14:paraId="78FFBE1C" w14:textId="77777777" w:rsidTr="00345119">
        <w:tc>
          <w:tcPr>
            <w:tcW w:w="9576" w:type="dxa"/>
          </w:tcPr>
          <w:p w14:paraId="3B0CE6D1" w14:textId="042425CF" w:rsidR="008423E4" w:rsidRPr="00861995" w:rsidRDefault="00DD2A4F" w:rsidP="00C34D49">
            <w:pPr>
              <w:jc w:val="right"/>
            </w:pPr>
            <w:r>
              <w:t>Public Health</w:t>
            </w:r>
          </w:p>
        </w:tc>
      </w:tr>
      <w:tr w:rsidR="00B441EF" w14:paraId="0BF3196D" w14:textId="77777777" w:rsidTr="00345119">
        <w:tc>
          <w:tcPr>
            <w:tcW w:w="9576" w:type="dxa"/>
          </w:tcPr>
          <w:p w14:paraId="062D1E61" w14:textId="585C0C71" w:rsidR="008423E4" w:rsidRDefault="00DD2A4F" w:rsidP="00C34D49">
            <w:pPr>
              <w:jc w:val="right"/>
            </w:pPr>
            <w:r>
              <w:t>Committee Report (Unamended)</w:t>
            </w:r>
          </w:p>
        </w:tc>
      </w:tr>
    </w:tbl>
    <w:p w14:paraId="08232831" w14:textId="77777777" w:rsidR="008423E4" w:rsidRDefault="008423E4" w:rsidP="00C34D49">
      <w:pPr>
        <w:tabs>
          <w:tab w:val="right" w:pos="9360"/>
        </w:tabs>
      </w:pPr>
    </w:p>
    <w:p w14:paraId="47C99F1D" w14:textId="77777777" w:rsidR="008423E4" w:rsidRDefault="008423E4" w:rsidP="00C34D49"/>
    <w:p w14:paraId="1CEA0809" w14:textId="77777777" w:rsidR="008423E4" w:rsidRDefault="008423E4" w:rsidP="00C34D49"/>
    <w:tbl>
      <w:tblPr>
        <w:tblW w:w="0" w:type="auto"/>
        <w:tblCellMar>
          <w:left w:w="115" w:type="dxa"/>
          <w:right w:w="115" w:type="dxa"/>
        </w:tblCellMar>
        <w:tblLook w:val="01E0" w:firstRow="1" w:lastRow="1" w:firstColumn="1" w:lastColumn="1" w:noHBand="0" w:noVBand="0"/>
      </w:tblPr>
      <w:tblGrid>
        <w:gridCol w:w="9360"/>
      </w:tblGrid>
      <w:tr w:rsidR="00B441EF" w14:paraId="04E09275" w14:textId="77777777" w:rsidTr="00345119">
        <w:tc>
          <w:tcPr>
            <w:tcW w:w="9576" w:type="dxa"/>
          </w:tcPr>
          <w:p w14:paraId="5942F558" w14:textId="77777777" w:rsidR="008423E4" w:rsidRPr="00A8133F" w:rsidRDefault="00DD2A4F" w:rsidP="00C34D49">
            <w:pPr>
              <w:rPr>
                <w:b/>
              </w:rPr>
            </w:pPr>
            <w:r w:rsidRPr="009C1E9A">
              <w:rPr>
                <w:b/>
                <w:u w:val="single"/>
              </w:rPr>
              <w:t>BACKGROUND AND PURPOSE</w:t>
            </w:r>
            <w:r>
              <w:rPr>
                <w:b/>
              </w:rPr>
              <w:t xml:space="preserve"> </w:t>
            </w:r>
          </w:p>
          <w:p w14:paraId="78CB1405" w14:textId="77777777" w:rsidR="008423E4" w:rsidRDefault="008423E4" w:rsidP="00C34D49"/>
          <w:p w14:paraId="21CC08F7" w14:textId="44DB5859" w:rsidR="008423E4" w:rsidRDefault="00DD2A4F" w:rsidP="00C34D49">
            <w:pPr>
              <w:pStyle w:val="Header"/>
              <w:jc w:val="both"/>
            </w:pPr>
            <w:r>
              <w:t xml:space="preserve">It has been suggested that </w:t>
            </w:r>
            <w:r w:rsidR="00BA67E9">
              <w:t>Texas needs better data to improve the equity of the distribution of vaccines. The Department of State Health Services is currently required to submit an immunization report to the legislature every two years.</w:t>
            </w:r>
            <w:r>
              <w:t xml:space="preserve"> There have been calls to include in this report information regarding</w:t>
            </w:r>
            <w:r w:rsidR="00BA67E9">
              <w:t xml:space="preserve"> </w:t>
            </w:r>
            <w:r>
              <w:t xml:space="preserve">patient </w:t>
            </w:r>
            <w:r w:rsidR="00BA67E9">
              <w:t xml:space="preserve">race and </w:t>
            </w:r>
            <w:r w:rsidR="00DB5277">
              <w:t xml:space="preserve">geographic </w:t>
            </w:r>
            <w:r>
              <w:t>location in</w:t>
            </w:r>
            <w:r w:rsidR="009A72D8">
              <w:t xml:space="preserve"> an</w:t>
            </w:r>
            <w:r>
              <w:t xml:space="preserve"> effort</w:t>
            </w:r>
            <w:r w:rsidR="00BA67E9">
              <w:t xml:space="preserve"> to understand access challenges experienced by</w:t>
            </w:r>
            <w:r>
              <w:t xml:space="preserve"> minority </w:t>
            </w:r>
            <w:r w:rsidR="00BA67E9">
              <w:t>communities and rural Texa</w:t>
            </w:r>
            <w:r w:rsidR="00DB5277">
              <w:t>n</w:t>
            </w:r>
            <w:r w:rsidR="00BA67E9">
              <w:t xml:space="preserve">s. </w:t>
            </w:r>
            <w:r w:rsidR="00381680">
              <w:t xml:space="preserve">S.B. 1353 seeks to address this issue by expanding the contents of the biennial </w:t>
            </w:r>
            <w:r w:rsidR="004F5A95">
              <w:t>immunization report to include certain information and recommendations regarding the accessibility of immunizations</w:t>
            </w:r>
            <w:r w:rsidR="00BA67E9">
              <w:t>.</w:t>
            </w:r>
          </w:p>
          <w:p w14:paraId="2B80BD07" w14:textId="77777777" w:rsidR="008423E4" w:rsidRPr="00E26B13" w:rsidRDefault="008423E4" w:rsidP="00C34D49">
            <w:pPr>
              <w:rPr>
                <w:b/>
              </w:rPr>
            </w:pPr>
          </w:p>
        </w:tc>
      </w:tr>
      <w:tr w:rsidR="00B441EF" w14:paraId="39896D66" w14:textId="77777777" w:rsidTr="00345119">
        <w:tc>
          <w:tcPr>
            <w:tcW w:w="9576" w:type="dxa"/>
          </w:tcPr>
          <w:p w14:paraId="365F4EF9" w14:textId="77777777" w:rsidR="0017725B" w:rsidRDefault="00DD2A4F" w:rsidP="00C34D49">
            <w:pPr>
              <w:rPr>
                <w:b/>
                <w:u w:val="single"/>
              </w:rPr>
            </w:pPr>
            <w:r>
              <w:rPr>
                <w:b/>
                <w:u w:val="single"/>
              </w:rPr>
              <w:t>CRIMINA</w:t>
            </w:r>
            <w:r>
              <w:rPr>
                <w:b/>
                <w:u w:val="single"/>
              </w:rPr>
              <w:t>L JUSTICE IMPACT</w:t>
            </w:r>
          </w:p>
          <w:p w14:paraId="01657057" w14:textId="77777777" w:rsidR="0017725B" w:rsidRDefault="0017725B" w:rsidP="00C34D49">
            <w:pPr>
              <w:rPr>
                <w:b/>
                <w:u w:val="single"/>
              </w:rPr>
            </w:pPr>
          </w:p>
          <w:p w14:paraId="2B9370D4" w14:textId="77777777" w:rsidR="00956F30" w:rsidRPr="00956F30" w:rsidRDefault="00DD2A4F" w:rsidP="00C34D49">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w:t>
            </w:r>
            <w:r>
              <w:t>parole, or mandatory supervision.</w:t>
            </w:r>
          </w:p>
          <w:p w14:paraId="525C49D6" w14:textId="77777777" w:rsidR="0017725B" w:rsidRPr="0017725B" w:rsidRDefault="0017725B" w:rsidP="00C34D49">
            <w:pPr>
              <w:rPr>
                <w:b/>
                <w:u w:val="single"/>
              </w:rPr>
            </w:pPr>
          </w:p>
        </w:tc>
      </w:tr>
      <w:tr w:rsidR="00B441EF" w14:paraId="68E2EB1B" w14:textId="77777777" w:rsidTr="00345119">
        <w:tc>
          <w:tcPr>
            <w:tcW w:w="9576" w:type="dxa"/>
          </w:tcPr>
          <w:p w14:paraId="6836AB55" w14:textId="77777777" w:rsidR="008423E4" w:rsidRPr="00A8133F" w:rsidRDefault="00DD2A4F" w:rsidP="00C34D49">
            <w:pPr>
              <w:rPr>
                <w:b/>
              </w:rPr>
            </w:pPr>
            <w:r w:rsidRPr="009C1E9A">
              <w:rPr>
                <w:b/>
                <w:u w:val="single"/>
              </w:rPr>
              <w:t>RULEMAKING AUTHORITY</w:t>
            </w:r>
            <w:r>
              <w:rPr>
                <w:b/>
              </w:rPr>
              <w:t xml:space="preserve"> </w:t>
            </w:r>
          </w:p>
          <w:p w14:paraId="1457CE72" w14:textId="77777777" w:rsidR="008423E4" w:rsidRDefault="008423E4" w:rsidP="00C34D49"/>
          <w:p w14:paraId="0797BAD8" w14:textId="77777777" w:rsidR="00956F30" w:rsidRDefault="00DD2A4F" w:rsidP="00C34D49">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2E79242" w14:textId="77777777" w:rsidR="008423E4" w:rsidRPr="00E21FDC" w:rsidRDefault="008423E4" w:rsidP="00C34D49">
            <w:pPr>
              <w:rPr>
                <w:b/>
              </w:rPr>
            </w:pPr>
          </w:p>
        </w:tc>
      </w:tr>
      <w:tr w:rsidR="00B441EF" w14:paraId="306EA996" w14:textId="77777777" w:rsidTr="00345119">
        <w:tc>
          <w:tcPr>
            <w:tcW w:w="9576" w:type="dxa"/>
          </w:tcPr>
          <w:p w14:paraId="646251AF" w14:textId="77777777" w:rsidR="008423E4" w:rsidRPr="00A8133F" w:rsidRDefault="00DD2A4F" w:rsidP="00C34D49">
            <w:pPr>
              <w:rPr>
                <w:b/>
              </w:rPr>
            </w:pPr>
            <w:r w:rsidRPr="009C1E9A">
              <w:rPr>
                <w:b/>
                <w:u w:val="single"/>
              </w:rPr>
              <w:t>ANALYSIS</w:t>
            </w:r>
            <w:r>
              <w:rPr>
                <w:b/>
              </w:rPr>
              <w:t xml:space="preserve"> </w:t>
            </w:r>
          </w:p>
          <w:p w14:paraId="2AE48F7A" w14:textId="77777777" w:rsidR="008423E4" w:rsidRDefault="008423E4" w:rsidP="00C34D49"/>
          <w:p w14:paraId="1D60FA30" w14:textId="61420723" w:rsidR="009C36CD" w:rsidRDefault="00DD2A4F" w:rsidP="00C34D49">
            <w:pPr>
              <w:pStyle w:val="Header"/>
              <w:tabs>
                <w:tab w:val="clear" w:pos="4320"/>
                <w:tab w:val="clear" w:pos="8640"/>
              </w:tabs>
              <w:jc w:val="both"/>
            </w:pPr>
            <w:r>
              <w:t>S.B</w:t>
            </w:r>
            <w:r>
              <w:t>. 1353 amends the Health and Safety Code to require the biennial immunization report provided by the Department of State Health Services</w:t>
            </w:r>
            <w:r w:rsidR="00021E70">
              <w:t xml:space="preserve"> (DSHS)</w:t>
            </w:r>
            <w:r>
              <w:t>, if a public health disaster was declared under the Communicable Disease Prevention and Control Act during the p</w:t>
            </w:r>
            <w:r>
              <w:t>receding two years, to do the following with respect to immunizations that immunize an individual against the communicable disease subject to the disaster declaration:</w:t>
            </w:r>
          </w:p>
          <w:p w14:paraId="2C6AC620" w14:textId="77777777" w:rsidR="00956F30" w:rsidRDefault="00DD2A4F" w:rsidP="00C34D49">
            <w:pPr>
              <w:pStyle w:val="Header"/>
              <w:numPr>
                <w:ilvl w:val="0"/>
                <w:numId w:val="1"/>
              </w:numPr>
              <w:tabs>
                <w:tab w:val="clear" w:pos="4320"/>
                <w:tab w:val="clear" w:pos="8640"/>
              </w:tabs>
              <w:jc w:val="both"/>
            </w:pPr>
            <w:r w:rsidRPr="004535C9">
              <w:t>include information by county on the accessibility to the immunizations of county reside</w:t>
            </w:r>
            <w:r w:rsidRPr="004535C9">
              <w:t>nts by age, race, and geographic location, provided the information does not personally identify any individual;</w:t>
            </w:r>
          </w:p>
          <w:p w14:paraId="173F866E" w14:textId="77777777" w:rsidR="004535C9" w:rsidRDefault="00DD2A4F" w:rsidP="00C34D49">
            <w:pPr>
              <w:pStyle w:val="Header"/>
              <w:numPr>
                <w:ilvl w:val="0"/>
                <w:numId w:val="1"/>
              </w:numPr>
              <w:tabs>
                <w:tab w:val="clear" w:pos="4320"/>
                <w:tab w:val="clear" w:pos="8640"/>
              </w:tabs>
              <w:jc w:val="both"/>
            </w:pPr>
            <w:r w:rsidRPr="004535C9">
              <w:t>identify and assess disparities in access to the immunizations by age, race, and geographic location, including an assessment of immunization a</w:t>
            </w:r>
            <w:r w:rsidRPr="004535C9">
              <w:t>ccessibility in each county;</w:t>
            </w:r>
          </w:p>
          <w:p w14:paraId="7B14E467" w14:textId="3D18AB46" w:rsidR="004535C9" w:rsidRDefault="00DD2A4F" w:rsidP="00C34D49">
            <w:pPr>
              <w:pStyle w:val="Header"/>
              <w:numPr>
                <w:ilvl w:val="0"/>
                <w:numId w:val="1"/>
              </w:numPr>
              <w:tabs>
                <w:tab w:val="clear" w:pos="4320"/>
                <w:tab w:val="clear" w:pos="8640"/>
              </w:tabs>
              <w:jc w:val="both"/>
            </w:pPr>
            <w:r w:rsidRPr="004535C9">
              <w:t>include the estimated economic benefit to th</w:t>
            </w:r>
            <w:r w:rsidR="00FD702E">
              <w:t>e</w:t>
            </w:r>
            <w:r w:rsidRPr="004535C9">
              <w:t xml:space="preserve"> state of reducing disparities in immunization accessibility;</w:t>
            </w:r>
          </w:p>
          <w:p w14:paraId="6B8B3754" w14:textId="77777777" w:rsidR="004535C9" w:rsidRDefault="00DD2A4F" w:rsidP="00C34D49">
            <w:pPr>
              <w:pStyle w:val="Header"/>
              <w:numPr>
                <w:ilvl w:val="0"/>
                <w:numId w:val="1"/>
              </w:numPr>
              <w:tabs>
                <w:tab w:val="clear" w:pos="4320"/>
                <w:tab w:val="clear" w:pos="8640"/>
              </w:tabs>
              <w:jc w:val="both"/>
            </w:pPr>
            <w:r w:rsidRPr="004535C9">
              <w:t>include recommendations for reducing disparities in immunization accessibility; and</w:t>
            </w:r>
          </w:p>
          <w:p w14:paraId="56D691B8" w14:textId="77777777" w:rsidR="004535C9" w:rsidRDefault="00DD2A4F" w:rsidP="00C34D49">
            <w:pPr>
              <w:pStyle w:val="Header"/>
              <w:numPr>
                <w:ilvl w:val="0"/>
                <w:numId w:val="1"/>
              </w:numPr>
              <w:tabs>
                <w:tab w:val="clear" w:pos="4320"/>
                <w:tab w:val="clear" w:pos="8640"/>
              </w:tabs>
              <w:jc w:val="both"/>
            </w:pPr>
            <w:r w:rsidRPr="004535C9">
              <w:t>include recommendations for legislat</w:t>
            </w:r>
            <w:r w:rsidRPr="004535C9">
              <w:t>ive action to increase immunization rates.</w:t>
            </w:r>
          </w:p>
          <w:p w14:paraId="00A11198" w14:textId="77777777" w:rsidR="004535C9" w:rsidRDefault="004535C9" w:rsidP="00C34D49">
            <w:pPr>
              <w:pStyle w:val="Header"/>
              <w:tabs>
                <w:tab w:val="clear" w:pos="4320"/>
                <w:tab w:val="clear" w:pos="8640"/>
              </w:tabs>
              <w:jc w:val="both"/>
            </w:pPr>
          </w:p>
          <w:p w14:paraId="3E2CAE37" w14:textId="77777777" w:rsidR="004535C9" w:rsidRPr="009C36CD" w:rsidRDefault="00DD2A4F" w:rsidP="00C34D49">
            <w:pPr>
              <w:pStyle w:val="Header"/>
              <w:tabs>
                <w:tab w:val="clear" w:pos="4320"/>
                <w:tab w:val="clear" w:pos="8640"/>
              </w:tabs>
              <w:jc w:val="both"/>
            </w:pPr>
            <w:r>
              <w:t>S.B. 1353</w:t>
            </w:r>
            <w:r w:rsidR="00021E70">
              <w:t xml:space="preserve"> requires an immunization record provided by a health care provider to DSHS for inclusion in the immunization registry during a public health disaster declared under the act to contain the race, age, ethnicity, and county of residence of the individual immunized. This requirement applies only to </w:t>
            </w:r>
            <w:r w:rsidR="00021E70" w:rsidRPr="00021E70">
              <w:t>immunizations that immunize an individual against the communicable disease subject to the declaration.</w:t>
            </w:r>
          </w:p>
          <w:p w14:paraId="53243E16" w14:textId="77777777" w:rsidR="008423E4" w:rsidRPr="00835628" w:rsidRDefault="008423E4" w:rsidP="00C34D49">
            <w:pPr>
              <w:rPr>
                <w:b/>
              </w:rPr>
            </w:pPr>
          </w:p>
        </w:tc>
      </w:tr>
      <w:tr w:rsidR="00B441EF" w14:paraId="5DCBB501" w14:textId="77777777" w:rsidTr="00345119">
        <w:tc>
          <w:tcPr>
            <w:tcW w:w="9576" w:type="dxa"/>
          </w:tcPr>
          <w:p w14:paraId="206C9FEF" w14:textId="77777777" w:rsidR="008423E4" w:rsidRPr="00A8133F" w:rsidRDefault="00DD2A4F" w:rsidP="00C34D49">
            <w:pPr>
              <w:rPr>
                <w:b/>
              </w:rPr>
            </w:pPr>
            <w:r w:rsidRPr="009C1E9A">
              <w:rPr>
                <w:b/>
                <w:u w:val="single"/>
              </w:rPr>
              <w:t>EFFECTIVE DATE</w:t>
            </w:r>
            <w:r>
              <w:rPr>
                <w:b/>
              </w:rPr>
              <w:t xml:space="preserve"> </w:t>
            </w:r>
          </w:p>
          <w:p w14:paraId="02404F65" w14:textId="77777777" w:rsidR="008423E4" w:rsidRDefault="008423E4" w:rsidP="00C34D49"/>
          <w:p w14:paraId="783298AD" w14:textId="77777777" w:rsidR="008423E4" w:rsidRPr="003624F2" w:rsidRDefault="00DD2A4F" w:rsidP="00C34D49">
            <w:pPr>
              <w:pStyle w:val="Header"/>
              <w:tabs>
                <w:tab w:val="clear" w:pos="4320"/>
                <w:tab w:val="clear" w:pos="8640"/>
              </w:tabs>
              <w:jc w:val="both"/>
            </w:pPr>
            <w:r>
              <w:t>On passage, or, if the bill does not rec</w:t>
            </w:r>
            <w:r>
              <w:t>eive the necessary vote, September 1, 2021.</w:t>
            </w:r>
          </w:p>
          <w:p w14:paraId="48180D86" w14:textId="77777777" w:rsidR="008423E4" w:rsidRPr="00233FDB" w:rsidRDefault="008423E4" w:rsidP="00C34D49">
            <w:pPr>
              <w:rPr>
                <w:b/>
              </w:rPr>
            </w:pPr>
          </w:p>
        </w:tc>
      </w:tr>
    </w:tbl>
    <w:p w14:paraId="6AEBD3B5" w14:textId="77777777" w:rsidR="008423E4" w:rsidRPr="00BE0E75" w:rsidRDefault="008423E4" w:rsidP="00C34D49">
      <w:pPr>
        <w:jc w:val="both"/>
        <w:rPr>
          <w:rFonts w:ascii="Arial" w:hAnsi="Arial"/>
          <w:sz w:val="16"/>
          <w:szCs w:val="16"/>
        </w:rPr>
      </w:pPr>
    </w:p>
    <w:p w14:paraId="7425B99E" w14:textId="77777777" w:rsidR="004108C3" w:rsidRPr="008423E4" w:rsidRDefault="004108C3" w:rsidP="00C34D4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C1FFC" w14:textId="77777777" w:rsidR="00000000" w:rsidRDefault="00DD2A4F">
      <w:r>
        <w:separator/>
      </w:r>
    </w:p>
  </w:endnote>
  <w:endnote w:type="continuationSeparator" w:id="0">
    <w:p w14:paraId="75E04A6F" w14:textId="77777777" w:rsidR="00000000" w:rsidRDefault="00DD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584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441EF" w14:paraId="5FF7AFDB" w14:textId="77777777" w:rsidTr="009C1E9A">
      <w:trPr>
        <w:cantSplit/>
      </w:trPr>
      <w:tc>
        <w:tcPr>
          <w:tcW w:w="0" w:type="pct"/>
        </w:tcPr>
        <w:p w14:paraId="1DA1CEF8" w14:textId="77777777" w:rsidR="00137D90" w:rsidRDefault="00137D90" w:rsidP="009C1E9A">
          <w:pPr>
            <w:pStyle w:val="Footer"/>
            <w:tabs>
              <w:tab w:val="clear" w:pos="8640"/>
              <w:tab w:val="right" w:pos="9360"/>
            </w:tabs>
          </w:pPr>
        </w:p>
      </w:tc>
      <w:tc>
        <w:tcPr>
          <w:tcW w:w="2395" w:type="pct"/>
        </w:tcPr>
        <w:p w14:paraId="638DC39A" w14:textId="77777777" w:rsidR="00137D90" w:rsidRDefault="00137D90" w:rsidP="009C1E9A">
          <w:pPr>
            <w:pStyle w:val="Footer"/>
            <w:tabs>
              <w:tab w:val="clear" w:pos="8640"/>
              <w:tab w:val="right" w:pos="9360"/>
            </w:tabs>
          </w:pPr>
        </w:p>
        <w:p w14:paraId="5095DE09" w14:textId="77777777" w:rsidR="001A4310" w:rsidRDefault="001A4310" w:rsidP="009C1E9A">
          <w:pPr>
            <w:pStyle w:val="Footer"/>
            <w:tabs>
              <w:tab w:val="clear" w:pos="8640"/>
              <w:tab w:val="right" w:pos="9360"/>
            </w:tabs>
          </w:pPr>
        </w:p>
        <w:p w14:paraId="2073D91C" w14:textId="77777777" w:rsidR="00137D90" w:rsidRDefault="00137D90" w:rsidP="009C1E9A">
          <w:pPr>
            <w:pStyle w:val="Footer"/>
            <w:tabs>
              <w:tab w:val="clear" w:pos="8640"/>
              <w:tab w:val="right" w:pos="9360"/>
            </w:tabs>
          </w:pPr>
        </w:p>
      </w:tc>
      <w:tc>
        <w:tcPr>
          <w:tcW w:w="2453" w:type="pct"/>
        </w:tcPr>
        <w:p w14:paraId="175CD8D9" w14:textId="77777777" w:rsidR="00137D90" w:rsidRDefault="00137D90" w:rsidP="009C1E9A">
          <w:pPr>
            <w:pStyle w:val="Footer"/>
            <w:tabs>
              <w:tab w:val="clear" w:pos="8640"/>
              <w:tab w:val="right" w:pos="9360"/>
            </w:tabs>
            <w:jc w:val="right"/>
          </w:pPr>
        </w:p>
      </w:tc>
    </w:tr>
    <w:tr w:rsidR="00B441EF" w14:paraId="1315FBFC" w14:textId="77777777" w:rsidTr="009C1E9A">
      <w:trPr>
        <w:cantSplit/>
      </w:trPr>
      <w:tc>
        <w:tcPr>
          <w:tcW w:w="0" w:type="pct"/>
        </w:tcPr>
        <w:p w14:paraId="3C225926" w14:textId="77777777" w:rsidR="00EC379B" w:rsidRDefault="00EC379B" w:rsidP="009C1E9A">
          <w:pPr>
            <w:pStyle w:val="Footer"/>
            <w:tabs>
              <w:tab w:val="clear" w:pos="8640"/>
              <w:tab w:val="right" w:pos="9360"/>
            </w:tabs>
          </w:pPr>
        </w:p>
      </w:tc>
      <w:tc>
        <w:tcPr>
          <w:tcW w:w="2395" w:type="pct"/>
        </w:tcPr>
        <w:p w14:paraId="0CC2D290" w14:textId="0BB53B79" w:rsidR="00EC379B" w:rsidRPr="009C1E9A" w:rsidRDefault="00DD2A4F" w:rsidP="009C1E9A">
          <w:pPr>
            <w:pStyle w:val="Footer"/>
            <w:tabs>
              <w:tab w:val="clear" w:pos="8640"/>
              <w:tab w:val="right" w:pos="9360"/>
            </w:tabs>
            <w:rPr>
              <w:rFonts w:ascii="Shruti" w:hAnsi="Shruti"/>
              <w:sz w:val="22"/>
            </w:rPr>
          </w:pPr>
          <w:r>
            <w:rPr>
              <w:rFonts w:ascii="Shruti" w:hAnsi="Shruti"/>
              <w:sz w:val="22"/>
            </w:rPr>
            <w:t>87R 27730</w:t>
          </w:r>
        </w:p>
      </w:tc>
      <w:tc>
        <w:tcPr>
          <w:tcW w:w="2453" w:type="pct"/>
        </w:tcPr>
        <w:p w14:paraId="291483EE" w14:textId="009EBDE0" w:rsidR="00EC379B" w:rsidRDefault="00DD2A4F" w:rsidP="009C1E9A">
          <w:pPr>
            <w:pStyle w:val="Footer"/>
            <w:tabs>
              <w:tab w:val="clear" w:pos="8640"/>
              <w:tab w:val="right" w:pos="9360"/>
            </w:tabs>
            <w:jc w:val="right"/>
          </w:pPr>
          <w:r>
            <w:fldChar w:fldCharType="begin"/>
          </w:r>
          <w:r>
            <w:instrText xml:space="preserve"> DOCPROPERTY  OTID  \* MERGEFORMAT </w:instrText>
          </w:r>
          <w:r>
            <w:fldChar w:fldCharType="separate"/>
          </w:r>
          <w:r w:rsidR="00687D4D">
            <w:t>21.138.654</w:t>
          </w:r>
          <w:r>
            <w:fldChar w:fldCharType="end"/>
          </w:r>
        </w:p>
      </w:tc>
    </w:tr>
    <w:tr w:rsidR="00B441EF" w14:paraId="29424824" w14:textId="77777777" w:rsidTr="009C1E9A">
      <w:trPr>
        <w:cantSplit/>
      </w:trPr>
      <w:tc>
        <w:tcPr>
          <w:tcW w:w="0" w:type="pct"/>
        </w:tcPr>
        <w:p w14:paraId="4D70A0B4" w14:textId="77777777" w:rsidR="00EC379B" w:rsidRDefault="00EC379B" w:rsidP="009C1E9A">
          <w:pPr>
            <w:pStyle w:val="Footer"/>
            <w:tabs>
              <w:tab w:val="clear" w:pos="4320"/>
              <w:tab w:val="clear" w:pos="8640"/>
              <w:tab w:val="left" w:pos="2865"/>
            </w:tabs>
          </w:pPr>
        </w:p>
      </w:tc>
      <w:tc>
        <w:tcPr>
          <w:tcW w:w="2395" w:type="pct"/>
        </w:tcPr>
        <w:p w14:paraId="74D1EF0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4CBF759" w14:textId="77777777" w:rsidR="00EC379B" w:rsidRDefault="00EC379B" w:rsidP="006D504F">
          <w:pPr>
            <w:pStyle w:val="Footer"/>
            <w:rPr>
              <w:rStyle w:val="PageNumber"/>
            </w:rPr>
          </w:pPr>
        </w:p>
        <w:p w14:paraId="0FDCEB79" w14:textId="77777777" w:rsidR="00EC379B" w:rsidRDefault="00EC379B" w:rsidP="009C1E9A">
          <w:pPr>
            <w:pStyle w:val="Footer"/>
            <w:tabs>
              <w:tab w:val="clear" w:pos="8640"/>
              <w:tab w:val="right" w:pos="9360"/>
            </w:tabs>
            <w:jc w:val="right"/>
          </w:pPr>
        </w:p>
      </w:tc>
    </w:tr>
    <w:tr w:rsidR="00B441EF" w14:paraId="2C525F19" w14:textId="77777777" w:rsidTr="009C1E9A">
      <w:trPr>
        <w:cantSplit/>
        <w:trHeight w:val="323"/>
      </w:trPr>
      <w:tc>
        <w:tcPr>
          <w:tcW w:w="0" w:type="pct"/>
          <w:gridSpan w:val="3"/>
        </w:tcPr>
        <w:p w14:paraId="6ED655FB" w14:textId="766EBE74" w:rsidR="00EC379B" w:rsidRDefault="00DD2A4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42200">
            <w:rPr>
              <w:rStyle w:val="PageNumber"/>
              <w:noProof/>
            </w:rPr>
            <w:t>2</w:t>
          </w:r>
          <w:r>
            <w:rPr>
              <w:rStyle w:val="PageNumber"/>
            </w:rPr>
            <w:fldChar w:fldCharType="end"/>
          </w:r>
        </w:p>
        <w:p w14:paraId="2FAD7446" w14:textId="77777777" w:rsidR="00EC379B" w:rsidRDefault="00EC379B" w:rsidP="009C1E9A">
          <w:pPr>
            <w:pStyle w:val="Footer"/>
            <w:tabs>
              <w:tab w:val="clear" w:pos="8640"/>
              <w:tab w:val="right" w:pos="9360"/>
            </w:tabs>
            <w:jc w:val="center"/>
          </w:pPr>
        </w:p>
      </w:tc>
    </w:tr>
  </w:tbl>
  <w:p w14:paraId="6F17085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8E4F3"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9864F" w14:textId="77777777" w:rsidR="00000000" w:rsidRDefault="00DD2A4F">
      <w:r>
        <w:separator/>
      </w:r>
    </w:p>
  </w:footnote>
  <w:footnote w:type="continuationSeparator" w:id="0">
    <w:p w14:paraId="2D839018" w14:textId="77777777" w:rsidR="00000000" w:rsidRDefault="00DD2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EB7D"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126C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0BFC9"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80AB7"/>
    <w:multiLevelType w:val="hybridMultilevel"/>
    <w:tmpl w:val="99E434D8"/>
    <w:lvl w:ilvl="0" w:tplc="BF40AF44">
      <w:start w:val="1"/>
      <w:numFmt w:val="bullet"/>
      <w:lvlText w:val=""/>
      <w:lvlJc w:val="left"/>
      <w:pPr>
        <w:tabs>
          <w:tab w:val="num" w:pos="720"/>
        </w:tabs>
        <w:ind w:left="720" w:hanging="360"/>
      </w:pPr>
      <w:rPr>
        <w:rFonts w:ascii="Symbol" w:hAnsi="Symbol" w:hint="default"/>
      </w:rPr>
    </w:lvl>
    <w:lvl w:ilvl="1" w:tplc="4AC836E8" w:tentative="1">
      <w:start w:val="1"/>
      <w:numFmt w:val="bullet"/>
      <w:lvlText w:val="o"/>
      <w:lvlJc w:val="left"/>
      <w:pPr>
        <w:ind w:left="1440" w:hanging="360"/>
      </w:pPr>
      <w:rPr>
        <w:rFonts w:ascii="Courier New" w:hAnsi="Courier New" w:cs="Courier New" w:hint="default"/>
      </w:rPr>
    </w:lvl>
    <w:lvl w:ilvl="2" w:tplc="E05A6F86" w:tentative="1">
      <w:start w:val="1"/>
      <w:numFmt w:val="bullet"/>
      <w:lvlText w:val=""/>
      <w:lvlJc w:val="left"/>
      <w:pPr>
        <w:ind w:left="2160" w:hanging="360"/>
      </w:pPr>
      <w:rPr>
        <w:rFonts w:ascii="Wingdings" w:hAnsi="Wingdings" w:hint="default"/>
      </w:rPr>
    </w:lvl>
    <w:lvl w:ilvl="3" w:tplc="C6AC2C2A" w:tentative="1">
      <w:start w:val="1"/>
      <w:numFmt w:val="bullet"/>
      <w:lvlText w:val=""/>
      <w:lvlJc w:val="left"/>
      <w:pPr>
        <w:ind w:left="2880" w:hanging="360"/>
      </w:pPr>
      <w:rPr>
        <w:rFonts w:ascii="Symbol" w:hAnsi="Symbol" w:hint="default"/>
      </w:rPr>
    </w:lvl>
    <w:lvl w:ilvl="4" w:tplc="B90CA220" w:tentative="1">
      <w:start w:val="1"/>
      <w:numFmt w:val="bullet"/>
      <w:lvlText w:val="o"/>
      <w:lvlJc w:val="left"/>
      <w:pPr>
        <w:ind w:left="3600" w:hanging="360"/>
      </w:pPr>
      <w:rPr>
        <w:rFonts w:ascii="Courier New" w:hAnsi="Courier New" w:cs="Courier New" w:hint="default"/>
      </w:rPr>
    </w:lvl>
    <w:lvl w:ilvl="5" w:tplc="1DA251FE" w:tentative="1">
      <w:start w:val="1"/>
      <w:numFmt w:val="bullet"/>
      <w:lvlText w:val=""/>
      <w:lvlJc w:val="left"/>
      <w:pPr>
        <w:ind w:left="4320" w:hanging="360"/>
      </w:pPr>
      <w:rPr>
        <w:rFonts w:ascii="Wingdings" w:hAnsi="Wingdings" w:hint="default"/>
      </w:rPr>
    </w:lvl>
    <w:lvl w:ilvl="6" w:tplc="D2801BF0" w:tentative="1">
      <w:start w:val="1"/>
      <w:numFmt w:val="bullet"/>
      <w:lvlText w:val=""/>
      <w:lvlJc w:val="left"/>
      <w:pPr>
        <w:ind w:left="5040" w:hanging="360"/>
      </w:pPr>
      <w:rPr>
        <w:rFonts w:ascii="Symbol" w:hAnsi="Symbol" w:hint="default"/>
      </w:rPr>
    </w:lvl>
    <w:lvl w:ilvl="7" w:tplc="258E289C" w:tentative="1">
      <w:start w:val="1"/>
      <w:numFmt w:val="bullet"/>
      <w:lvlText w:val="o"/>
      <w:lvlJc w:val="left"/>
      <w:pPr>
        <w:ind w:left="5760" w:hanging="360"/>
      </w:pPr>
      <w:rPr>
        <w:rFonts w:ascii="Courier New" w:hAnsi="Courier New" w:cs="Courier New" w:hint="default"/>
      </w:rPr>
    </w:lvl>
    <w:lvl w:ilvl="8" w:tplc="735ADDF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3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1E70"/>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682E"/>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38"/>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02E"/>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507D"/>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1680"/>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35C9"/>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5A95"/>
    <w:rsid w:val="004F64F6"/>
    <w:rsid w:val="004F69C0"/>
    <w:rsid w:val="004F7031"/>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87D4D"/>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63C7"/>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2EC2"/>
    <w:rsid w:val="0079487D"/>
    <w:rsid w:val="007966D4"/>
    <w:rsid w:val="00796A0A"/>
    <w:rsid w:val="0079792C"/>
    <w:rsid w:val="007A0989"/>
    <w:rsid w:val="007A331F"/>
    <w:rsid w:val="007A3844"/>
    <w:rsid w:val="007A4381"/>
    <w:rsid w:val="007A5466"/>
    <w:rsid w:val="007A7EC1"/>
    <w:rsid w:val="007A7FA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13D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56F30"/>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A72D8"/>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8F3"/>
    <w:rsid w:val="00A35D66"/>
    <w:rsid w:val="00A41085"/>
    <w:rsid w:val="00A41687"/>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628"/>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41EF"/>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67E9"/>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4D49"/>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277"/>
    <w:rsid w:val="00DB53C6"/>
    <w:rsid w:val="00DB59E3"/>
    <w:rsid w:val="00DB6CB6"/>
    <w:rsid w:val="00DB758F"/>
    <w:rsid w:val="00DC1F1B"/>
    <w:rsid w:val="00DC3D8F"/>
    <w:rsid w:val="00DC42E8"/>
    <w:rsid w:val="00DC6DBB"/>
    <w:rsid w:val="00DC7761"/>
    <w:rsid w:val="00DD0022"/>
    <w:rsid w:val="00DD073C"/>
    <w:rsid w:val="00DD128C"/>
    <w:rsid w:val="00DD1B8F"/>
    <w:rsid w:val="00DD2A4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778BF"/>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A7ACE"/>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200"/>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702E"/>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11088C-501E-459F-826F-438D25B4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535C9"/>
    <w:rPr>
      <w:sz w:val="16"/>
      <w:szCs w:val="16"/>
    </w:rPr>
  </w:style>
  <w:style w:type="paragraph" w:styleId="CommentText">
    <w:name w:val="annotation text"/>
    <w:basedOn w:val="Normal"/>
    <w:link w:val="CommentTextChar"/>
    <w:semiHidden/>
    <w:unhideWhenUsed/>
    <w:rsid w:val="004535C9"/>
    <w:rPr>
      <w:sz w:val="20"/>
      <w:szCs w:val="20"/>
    </w:rPr>
  </w:style>
  <w:style w:type="character" w:customStyle="1" w:styleId="CommentTextChar">
    <w:name w:val="Comment Text Char"/>
    <w:basedOn w:val="DefaultParagraphFont"/>
    <w:link w:val="CommentText"/>
    <w:semiHidden/>
    <w:rsid w:val="004535C9"/>
  </w:style>
  <w:style w:type="paragraph" w:styleId="CommentSubject">
    <w:name w:val="annotation subject"/>
    <w:basedOn w:val="CommentText"/>
    <w:next w:val="CommentText"/>
    <w:link w:val="CommentSubjectChar"/>
    <w:semiHidden/>
    <w:unhideWhenUsed/>
    <w:rsid w:val="004535C9"/>
    <w:rPr>
      <w:b/>
      <w:bCs/>
    </w:rPr>
  </w:style>
  <w:style w:type="character" w:customStyle="1" w:styleId="CommentSubjectChar">
    <w:name w:val="Comment Subject Char"/>
    <w:basedOn w:val="CommentTextChar"/>
    <w:link w:val="CommentSubject"/>
    <w:semiHidden/>
    <w:rsid w:val="004535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2405</Characters>
  <Application>Microsoft Office Word</Application>
  <DocSecurity>4</DocSecurity>
  <Lines>61</Lines>
  <Paragraphs>21</Paragraphs>
  <ScaleCrop>false</ScaleCrop>
  <HeadingPairs>
    <vt:vector size="2" baseType="variant">
      <vt:variant>
        <vt:lpstr>Title</vt:lpstr>
      </vt:variant>
      <vt:variant>
        <vt:i4>1</vt:i4>
      </vt:variant>
    </vt:vector>
  </HeadingPairs>
  <TitlesOfParts>
    <vt:vector size="1" baseType="lpstr">
      <vt:lpstr>BA - SB01353 (Committee Report (Unamended))</vt:lpstr>
    </vt:vector>
  </TitlesOfParts>
  <Company>State of Texas</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27730</dc:subject>
  <dc:creator>State of Texas</dc:creator>
  <dc:description>SB 1353 by Miles-(H)Public Health</dc:description>
  <cp:lastModifiedBy>Damian Duarte</cp:lastModifiedBy>
  <cp:revision>2</cp:revision>
  <cp:lastPrinted>2003-11-26T17:21:00Z</cp:lastPrinted>
  <dcterms:created xsi:type="dcterms:W3CDTF">2021-05-18T17:20:00Z</dcterms:created>
  <dcterms:modified xsi:type="dcterms:W3CDTF">2021-05-18T17:20:00Z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21.138.654</vt:lpwstr>
  </property>
</Properties>
</file>