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E5570" w14:paraId="734A6BA9" w14:textId="77777777" w:rsidTr="00345119">
        <w:tc>
          <w:tcPr>
            <w:tcW w:w="9576" w:type="dxa"/>
            <w:noWrap/>
          </w:tcPr>
          <w:p w14:paraId="38BE3029" w14:textId="77777777" w:rsidR="008423E4" w:rsidRPr="0022177D" w:rsidRDefault="005E34B4" w:rsidP="00672C4F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9111946" w14:textId="77777777" w:rsidR="008423E4" w:rsidRPr="0022177D" w:rsidRDefault="008423E4" w:rsidP="00672C4F">
      <w:pPr>
        <w:jc w:val="center"/>
      </w:pPr>
    </w:p>
    <w:p w14:paraId="7003550A" w14:textId="77777777" w:rsidR="008423E4" w:rsidRPr="00B31F0E" w:rsidRDefault="008423E4" w:rsidP="00672C4F"/>
    <w:p w14:paraId="4AE24CD4" w14:textId="77777777" w:rsidR="008423E4" w:rsidRPr="00742794" w:rsidRDefault="008423E4" w:rsidP="00672C4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E5570" w14:paraId="2D4A2217" w14:textId="77777777" w:rsidTr="00345119">
        <w:tc>
          <w:tcPr>
            <w:tcW w:w="9576" w:type="dxa"/>
          </w:tcPr>
          <w:p w14:paraId="66AA45F1" w14:textId="77777777" w:rsidR="008423E4" w:rsidRPr="00861995" w:rsidRDefault="005E34B4" w:rsidP="00672C4F">
            <w:pPr>
              <w:jc w:val="right"/>
            </w:pPr>
            <w:r>
              <w:t>S.B. 1359</w:t>
            </w:r>
          </w:p>
        </w:tc>
      </w:tr>
      <w:tr w:rsidR="004E5570" w14:paraId="041AD7E4" w14:textId="77777777" w:rsidTr="00345119">
        <w:tc>
          <w:tcPr>
            <w:tcW w:w="9576" w:type="dxa"/>
          </w:tcPr>
          <w:p w14:paraId="100AA9A5" w14:textId="77777777" w:rsidR="008423E4" w:rsidRPr="00861995" w:rsidRDefault="005E34B4" w:rsidP="00672C4F">
            <w:pPr>
              <w:jc w:val="right"/>
            </w:pPr>
            <w:r>
              <w:t xml:space="preserve">By: </w:t>
            </w:r>
            <w:r w:rsidR="00F20CAA">
              <w:t>Hughes</w:t>
            </w:r>
          </w:p>
        </w:tc>
      </w:tr>
      <w:tr w:rsidR="004E5570" w14:paraId="6325F3E7" w14:textId="77777777" w:rsidTr="00345119">
        <w:tc>
          <w:tcPr>
            <w:tcW w:w="9576" w:type="dxa"/>
          </w:tcPr>
          <w:p w14:paraId="14D8FB1B" w14:textId="77777777" w:rsidR="008423E4" w:rsidRPr="00861995" w:rsidRDefault="005E34B4" w:rsidP="00672C4F">
            <w:pPr>
              <w:jc w:val="right"/>
            </w:pPr>
            <w:r>
              <w:t>Homeland Security &amp; Public Safety</w:t>
            </w:r>
          </w:p>
        </w:tc>
      </w:tr>
      <w:tr w:rsidR="004E5570" w14:paraId="33A08EFE" w14:textId="77777777" w:rsidTr="00345119">
        <w:tc>
          <w:tcPr>
            <w:tcW w:w="9576" w:type="dxa"/>
          </w:tcPr>
          <w:p w14:paraId="420ACE7E" w14:textId="77777777" w:rsidR="008423E4" w:rsidRDefault="005E34B4" w:rsidP="00672C4F">
            <w:pPr>
              <w:jc w:val="right"/>
            </w:pPr>
            <w:r>
              <w:t>Committee Report (Unamended)</w:t>
            </w:r>
          </w:p>
        </w:tc>
      </w:tr>
    </w:tbl>
    <w:p w14:paraId="319A6A3C" w14:textId="77777777" w:rsidR="008423E4" w:rsidRDefault="008423E4" w:rsidP="00672C4F">
      <w:pPr>
        <w:tabs>
          <w:tab w:val="right" w:pos="9360"/>
        </w:tabs>
      </w:pPr>
    </w:p>
    <w:p w14:paraId="0BEA4FF9" w14:textId="77777777" w:rsidR="008423E4" w:rsidRDefault="008423E4" w:rsidP="00672C4F"/>
    <w:p w14:paraId="370AC492" w14:textId="77777777" w:rsidR="008423E4" w:rsidRDefault="008423E4" w:rsidP="00672C4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E5570" w14:paraId="2EC4653D" w14:textId="77777777" w:rsidTr="00345119">
        <w:tc>
          <w:tcPr>
            <w:tcW w:w="9576" w:type="dxa"/>
          </w:tcPr>
          <w:p w14:paraId="3323E8F6" w14:textId="77777777" w:rsidR="008423E4" w:rsidRPr="00A8133F" w:rsidRDefault="005E34B4" w:rsidP="00672C4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3ACE9A2" w14:textId="77777777" w:rsidR="008423E4" w:rsidRDefault="008423E4" w:rsidP="00672C4F"/>
          <w:p w14:paraId="1B8B8B2D" w14:textId="2DF76B85" w:rsidR="008423E4" w:rsidRDefault="005E34B4" w:rsidP="00672C4F">
            <w:pPr>
              <w:pStyle w:val="Header"/>
              <w:jc w:val="both"/>
            </w:pPr>
            <w:r>
              <w:t xml:space="preserve">Law enforcement officers face </w:t>
            </w:r>
            <w:r w:rsidR="00C90CA4">
              <w:t xml:space="preserve">some of the most </w:t>
            </w:r>
            <w:r>
              <w:t>mentally stressful situations</w:t>
            </w:r>
            <w:r w:rsidR="00C90CA4">
              <w:t xml:space="preserve"> imaginable</w:t>
            </w:r>
            <w:r>
              <w:t xml:space="preserve"> </w:t>
            </w:r>
            <w:r w:rsidR="00126957">
              <w:t xml:space="preserve">in carrying out their </w:t>
            </w:r>
            <w:r w:rsidR="00C90CA4">
              <w:t xml:space="preserve">duties. As such, </w:t>
            </w:r>
            <w:r>
              <w:t>law enforcement agencies</w:t>
            </w:r>
            <w:r w:rsidR="00C90CA4">
              <w:t xml:space="preserve"> should be equipped</w:t>
            </w:r>
            <w:r>
              <w:t xml:space="preserve"> with every tool available to </w:t>
            </w:r>
            <w:r w:rsidR="00C90CA4">
              <w:t xml:space="preserve">best </w:t>
            </w:r>
            <w:r>
              <w:t>serve their officers</w:t>
            </w:r>
            <w:r w:rsidR="00C90CA4">
              <w:t>'</w:t>
            </w:r>
            <w:r>
              <w:t xml:space="preserve"> mental health. S.B. 1359 requir</w:t>
            </w:r>
            <w:r w:rsidR="00C90CA4">
              <w:t>es</w:t>
            </w:r>
            <w:r>
              <w:t xml:space="preserve"> </w:t>
            </w:r>
            <w:r w:rsidR="007A17EB">
              <w:t>each</w:t>
            </w:r>
            <w:r>
              <w:t xml:space="preserve"> law enforcement agency to develop and adopt a mental health leave policy for </w:t>
            </w:r>
            <w:r w:rsidR="00C90CA4">
              <w:t>its</w:t>
            </w:r>
            <w:r>
              <w:t xml:space="preserve"> peace officers</w:t>
            </w:r>
            <w:r w:rsidR="00E94BD1">
              <w:t xml:space="preserve"> who experience a traumatic event in the scope of their employment</w:t>
            </w:r>
            <w:r>
              <w:t>.</w:t>
            </w:r>
          </w:p>
          <w:p w14:paraId="5366EDFA" w14:textId="77777777" w:rsidR="008423E4" w:rsidRPr="00E26B13" w:rsidRDefault="008423E4" w:rsidP="00672C4F">
            <w:pPr>
              <w:rPr>
                <w:b/>
              </w:rPr>
            </w:pPr>
          </w:p>
        </w:tc>
      </w:tr>
      <w:tr w:rsidR="004E5570" w14:paraId="711676FB" w14:textId="77777777" w:rsidTr="00345119">
        <w:tc>
          <w:tcPr>
            <w:tcW w:w="9576" w:type="dxa"/>
          </w:tcPr>
          <w:p w14:paraId="3F6CB1B2" w14:textId="77777777" w:rsidR="0017725B" w:rsidRDefault="005E34B4" w:rsidP="00672C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7E9E004" w14:textId="77777777" w:rsidR="0017725B" w:rsidRDefault="0017725B" w:rsidP="00672C4F">
            <w:pPr>
              <w:rPr>
                <w:b/>
                <w:u w:val="single"/>
              </w:rPr>
            </w:pPr>
          </w:p>
          <w:p w14:paraId="7243D7EF" w14:textId="77777777" w:rsidR="00395571" w:rsidRPr="00395571" w:rsidRDefault="005E34B4" w:rsidP="00672C4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</w:t>
            </w:r>
            <w:r>
              <w:t>enses, or change the eligibility of a person for community supervision, parole, or mandatory supervision.</w:t>
            </w:r>
          </w:p>
          <w:p w14:paraId="2FBFEDE7" w14:textId="77777777" w:rsidR="0017725B" w:rsidRPr="0017725B" w:rsidRDefault="0017725B" w:rsidP="00672C4F">
            <w:pPr>
              <w:rPr>
                <w:b/>
                <w:u w:val="single"/>
              </w:rPr>
            </w:pPr>
          </w:p>
        </w:tc>
      </w:tr>
      <w:tr w:rsidR="004E5570" w14:paraId="04992933" w14:textId="77777777" w:rsidTr="00345119">
        <w:tc>
          <w:tcPr>
            <w:tcW w:w="9576" w:type="dxa"/>
          </w:tcPr>
          <w:p w14:paraId="05DF60A4" w14:textId="77777777" w:rsidR="008423E4" w:rsidRPr="00A8133F" w:rsidRDefault="005E34B4" w:rsidP="00672C4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58B24F4" w14:textId="77777777" w:rsidR="008423E4" w:rsidRDefault="008423E4" w:rsidP="00672C4F"/>
          <w:p w14:paraId="26159961" w14:textId="77777777" w:rsidR="00395571" w:rsidRDefault="005E34B4" w:rsidP="00672C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</w:t>
            </w:r>
            <w:r>
              <w:t xml:space="preserve"> department, agency, or institution.</w:t>
            </w:r>
          </w:p>
          <w:p w14:paraId="25A9F7EE" w14:textId="77777777" w:rsidR="008423E4" w:rsidRPr="00E21FDC" w:rsidRDefault="008423E4" w:rsidP="00672C4F">
            <w:pPr>
              <w:rPr>
                <w:b/>
              </w:rPr>
            </w:pPr>
          </w:p>
        </w:tc>
      </w:tr>
      <w:tr w:rsidR="004E5570" w14:paraId="450616E5" w14:textId="77777777" w:rsidTr="00345119">
        <w:tc>
          <w:tcPr>
            <w:tcW w:w="9576" w:type="dxa"/>
          </w:tcPr>
          <w:p w14:paraId="02CE44CD" w14:textId="77777777" w:rsidR="008423E4" w:rsidRPr="00A8133F" w:rsidRDefault="005E34B4" w:rsidP="00672C4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E321396" w14:textId="77777777" w:rsidR="008423E4" w:rsidRDefault="008423E4" w:rsidP="00672C4F"/>
          <w:p w14:paraId="2226344B" w14:textId="2BBAB5C8" w:rsidR="00395571" w:rsidRDefault="005E34B4" w:rsidP="00672C4F">
            <w:pPr>
              <w:pStyle w:val="Header"/>
              <w:jc w:val="both"/>
            </w:pPr>
            <w:r>
              <w:t>S.B. 1359 amends the Government Code to require each law enforcement agency to develop and adopt a policy</w:t>
            </w:r>
            <w:r>
              <w:t xml:space="preserve"> allowing the use of mental health leave by the peace officers employed by the agency who experience a traumatic event in the scope of that employment. The mental health leave policy </w:t>
            </w:r>
            <w:r w:rsidR="00C90CA4">
              <w:t xml:space="preserve">must </w:t>
            </w:r>
            <w:r>
              <w:t>do the following:</w:t>
            </w:r>
          </w:p>
          <w:p w14:paraId="2EB0E0B6" w14:textId="77777777" w:rsidR="00395571" w:rsidRDefault="005E34B4" w:rsidP="00672C4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provide clear and objective guidelines establishin</w:t>
            </w:r>
            <w:r>
              <w:t>g the circumstances under which a peace officer is granted mental health leave and may use mental health leave;</w:t>
            </w:r>
          </w:p>
          <w:p w14:paraId="52A97A30" w14:textId="77777777" w:rsidR="00395571" w:rsidRDefault="005E34B4" w:rsidP="00672C4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entitle a peace officer to mental health leave without a deduction in salary or other compensation;</w:t>
            </w:r>
          </w:p>
          <w:p w14:paraId="4AC155A2" w14:textId="77777777" w:rsidR="00395571" w:rsidRDefault="005E34B4" w:rsidP="00672C4F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enumerate the number of mental health leave </w:t>
            </w:r>
            <w:r>
              <w:t>days available to a peace officer; and</w:t>
            </w:r>
          </w:p>
          <w:p w14:paraId="75FF0BA7" w14:textId="77777777" w:rsidR="00395571" w:rsidRDefault="005E34B4" w:rsidP="00672C4F">
            <w:pPr>
              <w:pStyle w:val="Header"/>
              <w:numPr>
                <w:ilvl w:val="0"/>
                <w:numId w:val="1"/>
              </w:numPr>
              <w:jc w:val="both"/>
            </w:pPr>
            <w:r>
              <w:t>detail the level of anonymity for a peace officer who takes mental health leave.</w:t>
            </w:r>
          </w:p>
          <w:p w14:paraId="546F03C5" w14:textId="77777777" w:rsidR="009C36CD" w:rsidRPr="009C36CD" w:rsidRDefault="005E34B4" w:rsidP="00672C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mental health leave policy may provide a list of mental health services available to peace officers in the area of the law enforceme</w:t>
            </w:r>
            <w:r>
              <w:t xml:space="preserve">nt agency. </w:t>
            </w:r>
          </w:p>
          <w:p w14:paraId="41F09161" w14:textId="77777777" w:rsidR="008423E4" w:rsidRPr="00835628" w:rsidRDefault="008423E4" w:rsidP="00672C4F">
            <w:pPr>
              <w:rPr>
                <w:b/>
              </w:rPr>
            </w:pPr>
          </w:p>
        </w:tc>
      </w:tr>
      <w:tr w:rsidR="004E5570" w14:paraId="75B95001" w14:textId="77777777" w:rsidTr="00345119">
        <w:tc>
          <w:tcPr>
            <w:tcW w:w="9576" w:type="dxa"/>
          </w:tcPr>
          <w:p w14:paraId="15A9352C" w14:textId="77777777" w:rsidR="008423E4" w:rsidRPr="00A8133F" w:rsidRDefault="005E34B4" w:rsidP="00672C4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76994A1" w14:textId="77777777" w:rsidR="008423E4" w:rsidRDefault="008423E4" w:rsidP="00672C4F"/>
          <w:p w14:paraId="4877AE71" w14:textId="77777777" w:rsidR="008423E4" w:rsidRPr="003624F2" w:rsidRDefault="005E34B4" w:rsidP="00672C4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326C099B" w14:textId="77777777" w:rsidR="008423E4" w:rsidRPr="00233FDB" w:rsidRDefault="008423E4" w:rsidP="00672C4F">
            <w:pPr>
              <w:rPr>
                <w:b/>
              </w:rPr>
            </w:pPr>
          </w:p>
        </w:tc>
      </w:tr>
    </w:tbl>
    <w:p w14:paraId="613F2841" w14:textId="77777777" w:rsidR="008423E4" w:rsidRPr="00BE0E75" w:rsidRDefault="008423E4" w:rsidP="00672C4F">
      <w:pPr>
        <w:jc w:val="both"/>
        <w:rPr>
          <w:rFonts w:ascii="Arial" w:hAnsi="Arial"/>
          <w:sz w:val="16"/>
          <w:szCs w:val="16"/>
        </w:rPr>
      </w:pPr>
    </w:p>
    <w:p w14:paraId="4EF8230C" w14:textId="77777777" w:rsidR="004108C3" w:rsidRPr="008423E4" w:rsidRDefault="004108C3" w:rsidP="00672C4F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9E270" w14:textId="77777777" w:rsidR="00000000" w:rsidRDefault="005E34B4">
      <w:r>
        <w:separator/>
      </w:r>
    </w:p>
  </w:endnote>
  <w:endnote w:type="continuationSeparator" w:id="0">
    <w:p w14:paraId="2A481548" w14:textId="77777777" w:rsidR="00000000" w:rsidRDefault="005E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1AB4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E5570" w14:paraId="1BD7067C" w14:textId="77777777" w:rsidTr="009C1E9A">
      <w:trPr>
        <w:cantSplit/>
      </w:trPr>
      <w:tc>
        <w:tcPr>
          <w:tcW w:w="0" w:type="pct"/>
        </w:tcPr>
        <w:p w14:paraId="4D6F828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9EED4E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6A585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CAF05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724BE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E5570" w14:paraId="33E6B1B1" w14:textId="77777777" w:rsidTr="009C1E9A">
      <w:trPr>
        <w:cantSplit/>
      </w:trPr>
      <w:tc>
        <w:tcPr>
          <w:tcW w:w="0" w:type="pct"/>
        </w:tcPr>
        <w:p w14:paraId="232078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FBD60DC" w14:textId="77777777" w:rsidR="00EC379B" w:rsidRPr="009C1E9A" w:rsidRDefault="005E34B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26766</w:t>
          </w:r>
        </w:p>
      </w:tc>
      <w:tc>
        <w:tcPr>
          <w:tcW w:w="2453" w:type="pct"/>
        </w:tcPr>
        <w:p w14:paraId="0F39B523" w14:textId="07E4AAFB" w:rsidR="00EC379B" w:rsidRDefault="005E34B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11101">
            <w:t>21.133.1576</w:t>
          </w:r>
          <w:r>
            <w:fldChar w:fldCharType="end"/>
          </w:r>
        </w:p>
      </w:tc>
    </w:tr>
    <w:tr w:rsidR="004E5570" w14:paraId="69D89B3D" w14:textId="77777777" w:rsidTr="009C1E9A">
      <w:trPr>
        <w:cantSplit/>
      </w:trPr>
      <w:tc>
        <w:tcPr>
          <w:tcW w:w="0" w:type="pct"/>
        </w:tcPr>
        <w:p w14:paraId="343BB30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151258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119BF80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3D47D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E5570" w14:paraId="0D19DA4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5C854F1" w14:textId="511C8BF9" w:rsidR="00EC379B" w:rsidRDefault="005E34B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72C4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16F7C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3D7F21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1842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9C0D9" w14:textId="77777777" w:rsidR="00000000" w:rsidRDefault="005E34B4">
      <w:r>
        <w:separator/>
      </w:r>
    </w:p>
  </w:footnote>
  <w:footnote w:type="continuationSeparator" w:id="0">
    <w:p w14:paraId="28EC5FE4" w14:textId="77777777" w:rsidR="00000000" w:rsidRDefault="005E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3AA0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F62D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EF217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4355C"/>
    <w:multiLevelType w:val="hybridMultilevel"/>
    <w:tmpl w:val="A7669AE2"/>
    <w:lvl w:ilvl="0" w:tplc="6038C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6E3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CF3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6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C7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E1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0D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62A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F2D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A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44C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6957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07F3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A9E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5571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33CB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570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4B4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2C4F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7EB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350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292C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0CA4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101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763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4BD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CAA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8F9257-7731-4294-867B-7C2A2EED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955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95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955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95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55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1654</Characters>
  <Application>Microsoft Office Word</Application>
  <DocSecurity>4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SB01359 (Committee Report (Unamended))</vt:lpstr>
    </vt:vector>
  </TitlesOfParts>
  <Company>State of Texas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26766</dc:subject>
  <dc:creator>State of Texas</dc:creator>
  <dc:description>SB 1359 by Hughes-(H)Homeland Security &amp; Public Safety</dc:description>
  <cp:lastModifiedBy>Damian Duarte</cp:lastModifiedBy>
  <cp:revision>2</cp:revision>
  <cp:lastPrinted>2003-11-26T17:21:00Z</cp:lastPrinted>
  <dcterms:created xsi:type="dcterms:W3CDTF">2021-05-14T19:17:00Z</dcterms:created>
  <dcterms:modified xsi:type="dcterms:W3CDTF">2021-05-14T19:17:00Z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21.133.1576</vt:lpwstr>
  </property>
</Properties>
</file>