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81" w:rsidRDefault="00D7098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9773B138C4A4839AB3A2DD0BA0A9A1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70981" w:rsidRPr="00585C31" w:rsidRDefault="00D70981" w:rsidP="000F1DF9">
      <w:pPr>
        <w:spacing w:after="0" w:line="240" w:lineRule="auto"/>
        <w:rPr>
          <w:rFonts w:cs="Times New Roman"/>
          <w:szCs w:val="24"/>
        </w:rPr>
      </w:pPr>
    </w:p>
    <w:p w:rsidR="00D70981" w:rsidRPr="00585C31" w:rsidRDefault="00D7098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70981" w:rsidTr="000F1DF9">
        <w:tc>
          <w:tcPr>
            <w:tcW w:w="2718" w:type="dxa"/>
          </w:tcPr>
          <w:p w:rsidR="00D70981" w:rsidRPr="005C2A78" w:rsidRDefault="00D7098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50F34D0C54B4888B1242F26C6CB36B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70981" w:rsidRPr="00FF6471" w:rsidRDefault="00D7098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D9BD2CF48AD421D8629CC831023E8A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1368</w:t>
                </w:r>
              </w:sdtContent>
            </w:sdt>
          </w:p>
        </w:tc>
      </w:tr>
      <w:tr w:rsidR="00D7098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74220E9235E4C2DB4A70A7180964A63"/>
            </w:placeholder>
          </w:sdtPr>
          <w:sdtContent>
            <w:tc>
              <w:tcPr>
                <w:tcW w:w="2718" w:type="dxa"/>
              </w:tcPr>
              <w:p w:rsidR="00D70981" w:rsidRPr="000F1DF9" w:rsidRDefault="00D7098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87R8459 SCL-F</w:t>
                </w:r>
              </w:p>
            </w:tc>
          </w:sdtContent>
        </w:sdt>
        <w:tc>
          <w:tcPr>
            <w:tcW w:w="6858" w:type="dxa"/>
          </w:tcPr>
          <w:p w:rsidR="00D70981" w:rsidRPr="005C2A78" w:rsidRDefault="00D7098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634143B87FD465797F727122A543E3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0A688836FF5458990D3EB66BB61432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66555AA04F94EDB8927D9F539CBB0E5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710B1BE915BD47B499F0D54B282FDE10"/>
                </w:placeholder>
                <w:showingPlcHdr/>
              </w:sdtPr>
              <w:sdtContent/>
            </w:sdt>
          </w:p>
        </w:tc>
      </w:tr>
      <w:tr w:rsidR="00D70981" w:rsidTr="000F1DF9">
        <w:tc>
          <w:tcPr>
            <w:tcW w:w="2718" w:type="dxa"/>
          </w:tcPr>
          <w:p w:rsidR="00D70981" w:rsidRPr="00BC7495" w:rsidRDefault="00D709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1CD258AD205498DB6194677B1199D03"/>
            </w:placeholder>
          </w:sdtPr>
          <w:sdtContent>
            <w:tc>
              <w:tcPr>
                <w:tcW w:w="6858" w:type="dxa"/>
              </w:tcPr>
              <w:p w:rsidR="00D70981" w:rsidRPr="00FF6471" w:rsidRDefault="00D709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D70981" w:rsidTr="000F1DF9">
        <w:tc>
          <w:tcPr>
            <w:tcW w:w="2718" w:type="dxa"/>
          </w:tcPr>
          <w:p w:rsidR="00D70981" w:rsidRPr="00BC7495" w:rsidRDefault="00D709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713CFFCE6B949FCA493ED2BB9B139EC"/>
            </w:placeholder>
            <w:date w:fullDate="2021-03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70981" w:rsidRPr="00FF6471" w:rsidRDefault="00D70981" w:rsidP="00C13FE8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3/26/2021</w:t>
                </w:r>
              </w:p>
            </w:tc>
          </w:sdtContent>
        </w:sdt>
      </w:tr>
      <w:tr w:rsidR="00D70981" w:rsidTr="000F1DF9">
        <w:tc>
          <w:tcPr>
            <w:tcW w:w="2718" w:type="dxa"/>
          </w:tcPr>
          <w:p w:rsidR="00D70981" w:rsidRPr="00BC7495" w:rsidRDefault="00D709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B0DCC8913EC480FA7E161C98F35C041"/>
            </w:placeholder>
          </w:sdtPr>
          <w:sdtContent>
            <w:tc>
              <w:tcPr>
                <w:tcW w:w="6858" w:type="dxa"/>
              </w:tcPr>
              <w:p w:rsidR="00D70981" w:rsidRPr="00FF6471" w:rsidRDefault="00D709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70981" w:rsidRPr="00FF6471" w:rsidRDefault="00D70981" w:rsidP="000F1DF9">
      <w:pPr>
        <w:spacing w:after="0" w:line="240" w:lineRule="auto"/>
        <w:rPr>
          <w:rFonts w:cs="Times New Roman"/>
          <w:szCs w:val="24"/>
        </w:rPr>
      </w:pPr>
    </w:p>
    <w:p w:rsidR="00D70981" w:rsidRPr="00FF6471" w:rsidRDefault="00D70981" w:rsidP="000F1DF9">
      <w:pPr>
        <w:spacing w:after="0" w:line="240" w:lineRule="auto"/>
        <w:rPr>
          <w:rFonts w:cs="Times New Roman"/>
          <w:szCs w:val="24"/>
        </w:rPr>
      </w:pPr>
    </w:p>
    <w:p w:rsidR="00D70981" w:rsidRPr="00FF6471" w:rsidRDefault="00D7098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D3898BC7027403FB7D95EC222BAF99A"/>
        </w:placeholder>
      </w:sdtPr>
      <w:sdtContent>
        <w:p w:rsidR="00D70981" w:rsidRDefault="00D7098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F89E43B7A9E45BA8C464DA1140CE63E"/>
        </w:placeholder>
      </w:sdtPr>
      <w:sdtContent>
        <w:p w:rsidR="00D70981" w:rsidRDefault="00D70981" w:rsidP="00D70981">
          <w:pPr>
            <w:pStyle w:val="NormalWeb"/>
            <w:spacing w:before="0" w:beforeAutospacing="0" w:after="0" w:afterAutospacing="0"/>
            <w:jc w:val="both"/>
            <w:divId w:val="654992085"/>
            <w:rPr>
              <w:rFonts w:eastAsia="Times New Roman"/>
              <w:bCs/>
            </w:rPr>
          </w:pPr>
        </w:p>
        <w:p w:rsidR="00D70981" w:rsidRDefault="00D70981" w:rsidP="00D70981">
          <w:pPr>
            <w:pStyle w:val="NormalWeb"/>
            <w:spacing w:before="0" w:beforeAutospacing="0" w:after="0" w:afterAutospacing="0"/>
            <w:jc w:val="both"/>
            <w:divId w:val="654992085"/>
            <w:rPr>
              <w:color w:val="000000"/>
            </w:rPr>
          </w:pPr>
          <w:r w:rsidRPr="00C13FE8">
            <w:rPr>
              <w:color w:val="000000"/>
            </w:rPr>
            <w:t>Texas appraisers have been faced with lawsuits alleging defects in appraisals performed for mortgage transactions during the 2005-2008 "real estate bubble" that have now gone into default. Under cur</w:t>
          </w:r>
          <w:r>
            <w:rPr>
              <w:color w:val="000000"/>
            </w:rPr>
            <w:t>rent law, the filing limit does not</w:t>
          </w:r>
          <w:r w:rsidRPr="00C13FE8">
            <w:rPr>
              <w:color w:val="000000"/>
            </w:rPr>
            <w:t xml:space="preserve"> commence until the claimant discovers, or should have discovered, the alleged defect, resulting in an almost infinite statute of limitations for claims against appraisers. </w:t>
          </w:r>
        </w:p>
        <w:p w:rsidR="00D70981" w:rsidRPr="00C13FE8" w:rsidRDefault="00D70981" w:rsidP="00D70981">
          <w:pPr>
            <w:pStyle w:val="NormalWeb"/>
            <w:spacing w:before="0" w:beforeAutospacing="0" w:after="0" w:afterAutospacing="0"/>
            <w:jc w:val="both"/>
            <w:divId w:val="654992085"/>
            <w:rPr>
              <w:color w:val="000000"/>
            </w:rPr>
          </w:pPr>
        </w:p>
        <w:p w:rsidR="00D70981" w:rsidRDefault="00D70981" w:rsidP="00D70981">
          <w:pPr>
            <w:pStyle w:val="NormalWeb"/>
            <w:spacing w:before="0" w:beforeAutospacing="0" w:after="0" w:afterAutospacing="0"/>
            <w:jc w:val="both"/>
            <w:divId w:val="654992085"/>
            <w:rPr>
              <w:color w:val="000000"/>
            </w:rPr>
          </w:pPr>
          <w:r w:rsidRPr="00C13FE8">
            <w:rPr>
              <w:color w:val="000000"/>
            </w:rPr>
            <w:t xml:space="preserve">The Federal Uniform Standards of Professional Appraisal Practice only requires that an appraiser retain a workfile for the later of five years after the appraisal was prepared or two years after final disposition of any judicial proceeding in </w:t>
          </w:r>
          <w:r>
            <w:rPr>
              <w:color w:val="000000"/>
            </w:rPr>
            <w:t xml:space="preserve">which </w:t>
          </w:r>
          <w:r w:rsidRPr="00C13FE8">
            <w:rPr>
              <w:color w:val="000000"/>
            </w:rPr>
            <w:t xml:space="preserve">with the appraiser provided testimony. Because this work could have been performed many years ago, the appraiser often cannot adequately defend themselves. </w:t>
          </w:r>
        </w:p>
        <w:p w:rsidR="00D70981" w:rsidRPr="00C13FE8" w:rsidRDefault="00D70981" w:rsidP="00D70981">
          <w:pPr>
            <w:pStyle w:val="NormalWeb"/>
            <w:spacing w:before="0" w:beforeAutospacing="0" w:after="0" w:afterAutospacing="0"/>
            <w:jc w:val="both"/>
            <w:divId w:val="654992085"/>
            <w:rPr>
              <w:color w:val="000000"/>
            </w:rPr>
          </w:pPr>
        </w:p>
        <w:p w:rsidR="00D70981" w:rsidRPr="00C13FE8" w:rsidRDefault="00D70981" w:rsidP="00D70981">
          <w:pPr>
            <w:pStyle w:val="NormalWeb"/>
            <w:spacing w:before="0" w:beforeAutospacing="0" w:after="0" w:afterAutospacing="0"/>
            <w:jc w:val="both"/>
            <w:divId w:val="654992085"/>
            <w:rPr>
              <w:color w:val="000000"/>
            </w:rPr>
          </w:pPr>
          <w:r w:rsidRPr="00C13FE8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C13FE8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C13FE8">
            <w:rPr>
              <w:color w:val="000000"/>
            </w:rPr>
            <w:t xml:space="preserve"> 1368 would establish a statutory limitation on the time in which litigation against real estate appraisers can be filed following the date the service was performed. </w:t>
          </w:r>
        </w:p>
        <w:p w:rsidR="00D70981" w:rsidRPr="00D70925" w:rsidRDefault="00D70981" w:rsidP="00D7098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70981" w:rsidRDefault="00D7098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1368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limitations periods for certain suits against real estate appraisers and appraisal firms.</w:t>
      </w:r>
    </w:p>
    <w:p w:rsidR="00D70981" w:rsidRPr="000052ED" w:rsidRDefault="00D709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70981" w:rsidRPr="005C2A78" w:rsidRDefault="00D7098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C2C6DF60420485798C232EE4E3C688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70981" w:rsidRPr="006529C4" w:rsidRDefault="00D7098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70981" w:rsidRPr="006529C4" w:rsidRDefault="00D7098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70981" w:rsidRPr="006529C4" w:rsidRDefault="00D7098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70981" w:rsidRPr="005C2A78" w:rsidRDefault="00D7098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CFC9A195743499B91A5D30D39D9E3A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70981" w:rsidRPr="005C2A78" w:rsidRDefault="00D70981" w:rsidP="00D7098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70981" w:rsidRPr="000052ED" w:rsidRDefault="00D70981" w:rsidP="00D7098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0052ED">
        <w:rPr>
          <w:rFonts w:eastAsia="Times New Roman" w:cs="Times New Roman"/>
          <w:szCs w:val="24"/>
        </w:rPr>
        <w:t xml:space="preserve">Subchapter A, Chapter 16, Civil Practice and Remedies Code, </w:t>
      </w:r>
      <w:r>
        <w:rPr>
          <w:rFonts w:eastAsia="Times New Roman" w:cs="Times New Roman"/>
          <w:szCs w:val="24"/>
        </w:rPr>
        <w:t xml:space="preserve">by adding Section 16.013, </w:t>
      </w:r>
      <w:r w:rsidRPr="000052ED">
        <w:rPr>
          <w:rFonts w:eastAsia="Times New Roman" w:cs="Times New Roman"/>
          <w:szCs w:val="24"/>
        </w:rPr>
        <w:t>as follows:</w:t>
      </w:r>
    </w:p>
    <w:p w:rsidR="00D70981" w:rsidRPr="000052ED" w:rsidRDefault="00D70981" w:rsidP="00D7098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70981" w:rsidRPr="000052ED" w:rsidRDefault="00D70981" w:rsidP="00D7098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052ED">
        <w:rPr>
          <w:rFonts w:eastAsia="Times New Roman" w:cs="Times New Roman"/>
          <w:szCs w:val="24"/>
        </w:rPr>
        <w:t xml:space="preserve">Sec. 16.013.  REAL ESTATE APPRAISERS AND APPRAISAL FIRMS. (a) </w:t>
      </w:r>
      <w:r>
        <w:rPr>
          <w:rFonts w:eastAsia="Times New Roman" w:cs="Times New Roman"/>
          <w:szCs w:val="24"/>
        </w:rPr>
        <w:t>Defines "appraisal," "appraisal review," "real estate appraisal firm," and "real estate appraiser."</w:t>
      </w:r>
    </w:p>
    <w:p w:rsidR="00D70981" w:rsidRPr="000052ED" w:rsidRDefault="00D70981" w:rsidP="00D7098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70981" w:rsidRPr="000052ED" w:rsidRDefault="00D70981" w:rsidP="00D7098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052ED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>Requires a</w:t>
      </w:r>
      <w:r w:rsidRPr="000052ED">
        <w:rPr>
          <w:rFonts w:eastAsia="Times New Roman" w:cs="Times New Roman"/>
          <w:szCs w:val="24"/>
        </w:rPr>
        <w:t xml:space="preserve"> person </w:t>
      </w:r>
      <w:r>
        <w:rPr>
          <w:rFonts w:eastAsia="Times New Roman" w:cs="Times New Roman"/>
          <w:szCs w:val="24"/>
        </w:rPr>
        <w:t>to</w:t>
      </w:r>
      <w:r w:rsidRPr="000052ED">
        <w:rPr>
          <w:rFonts w:eastAsia="Times New Roman" w:cs="Times New Roman"/>
          <w:szCs w:val="24"/>
        </w:rPr>
        <w:t xml:space="preserve"> bring suit for damages or other relief arising from an appraisal or appraisal review conducted by a real estate appraiser or appraisal firm not later than the earlier of two years after the day the person knew or should have known the fac</w:t>
      </w:r>
      <w:r>
        <w:rPr>
          <w:rFonts w:eastAsia="Times New Roman" w:cs="Times New Roman"/>
          <w:szCs w:val="24"/>
        </w:rPr>
        <w:t>ts on which the action is based</w:t>
      </w:r>
      <w:r w:rsidRPr="000052ED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</w:t>
      </w:r>
      <w:r w:rsidRPr="000052ED">
        <w:rPr>
          <w:rFonts w:eastAsia="Times New Roman" w:cs="Times New Roman"/>
          <w:szCs w:val="24"/>
        </w:rPr>
        <w:t>five years after the day the appraisal or appraisal review was completed.</w:t>
      </w:r>
    </w:p>
    <w:p w:rsidR="00D70981" w:rsidRPr="005C2A78" w:rsidRDefault="00D70981" w:rsidP="00D7098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70981" w:rsidRPr="005C2A78" w:rsidRDefault="00D70981" w:rsidP="00D7098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</w:t>
      </w:r>
      <w:r w:rsidRPr="000052ED">
        <w:rPr>
          <w:rFonts w:eastAsia="Times New Roman" w:cs="Times New Roman"/>
          <w:szCs w:val="24"/>
        </w:rPr>
        <w:t>Section 16.013, Civil Practice and Remedies Code, as added by this Act,</w:t>
      </w:r>
      <w:r>
        <w:rPr>
          <w:rFonts w:eastAsia="Times New Roman" w:cs="Times New Roman"/>
          <w:szCs w:val="24"/>
        </w:rPr>
        <w:t xml:space="preserve"> prospective.</w:t>
      </w:r>
    </w:p>
    <w:p w:rsidR="00D70981" w:rsidRPr="005C2A78" w:rsidRDefault="00D70981" w:rsidP="00D7098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70981" w:rsidRPr="00C8671F" w:rsidRDefault="00D70981" w:rsidP="00D7098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2021.</w:t>
      </w:r>
    </w:p>
    <w:sectPr w:rsidR="00D7098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E1" w:rsidRDefault="005745E1" w:rsidP="000F1DF9">
      <w:pPr>
        <w:spacing w:after="0" w:line="240" w:lineRule="auto"/>
      </w:pPr>
      <w:r>
        <w:separator/>
      </w:r>
    </w:p>
  </w:endnote>
  <w:endnote w:type="continuationSeparator" w:id="0">
    <w:p w:rsidR="005745E1" w:rsidRDefault="005745E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745E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70981">
                <w:rPr>
                  <w:sz w:val="20"/>
                  <w:szCs w:val="20"/>
                </w:rPr>
                <w:t>SEM, SFG, 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70981">
                <w:rPr>
                  <w:sz w:val="20"/>
                  <w:szCs w:val="20"/>
                </w:rPr>
                <w:t>S.B. 1368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7098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745E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7098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7098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E1" w:rsidRDefault="005745E1" w:rsidP="000F1DF9">
      <w:pPr>
        <w:spacing w:after="0" w:line="240" w:lineRule="auto"/>
      </w:pPr>
      <w:r>
        <w:separator/>
      </w:r>
    </w:p>
  </w:footnote>
  <w:footnote w:type="continuationSeparator" w:id="0">
    <w:p w:rsidR="005745E1" w:rsidRDefault="005745E1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745E1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70981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B9CCF"/>
  <w15:docId w15:val="{00E39EC9-65E7-469A-87F2-4FA5B90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098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9773B138C4A4839AB3A2DD0BA0A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8C74-CEF2-49CE-BED2-B28CD4DEA5E4}"/>
      </w:docPartPr>
      <w:docPartBody>
        <w:p w:rsidR="00000000" w:rsidRDefault="002A453D"/>
      </w:docPartBody>
    </w:docPart>
    <w:docPart>
      <w:docPartPr>
        <w:name w:val="550F34D0C54B4888B1242F26C6CB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D0A6-0592-4B89-B18C-2A0C92148C0E}"/>
      </w:docPartPr>
      <w:docPartBody>
        <w:p w:rsidR="00000000" w:rsidRDefault="002A453D"/>
      </w:docPartBody>
    </w:docPart>
    <w:docPart>
      <w:docPartPr>
        <w:name w:val="ED9BD2CF48AD421D8629CC831023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D47BC-0975-400B-BFCB-B41ACE0C7A69}"/>
      </w:docPartPr>
      <w:docPartBody>
        <w:p w:rsidR="00000000" w:rsidRDefault="002A453D"/>
      </w:docPartBody>
    </w:docPart>
    <w:docPart>
      <w:docPartPr>
        <w:name w:val="474220E9235E4C2DB4A70A718096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169F4-4BFC-4451-B655-F91431D2BA44}"/>
      </w:docPartPr>
      <w:docPartBody>
        <w:p w:rsidR="00000000" w:rsidRDefault="002A453D"/>
      </w:docPartBody>
    </w:docPart>
    <w:docPart>
      <w:docPartPr>
        <w:name w:val="E634143B87FD465797F727122A543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D0B6-4C65-4D25-92C7-201E924B28F4}"/>
      </w:docPartPr>
      <w:docPartBody>
        <w:p w:rsidR="00000000" w:rsidRDefault="002A453D"/>
      </w:docPartBody>
    </w:docPart>
    <w:docPart>
      <w:docPartPr>
        <w:name w:val="60A688836FF5458990D3EB66BB61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DA8E8-1309-46E3-AD63-07659816AD45}"/>
      </w:docPartPr>
      <w:docPartBody>
        <w:p w:rsidR="00000000" w:rsidRDefault="002A453D"/>
      </w:docPartBody>
    </w:docPart>
    <w:docPart>
      <w:docPartPr>
        <w:name w:val="866555AA04F94EDB8927D9F539CB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5173-9299-4A95-BE9E-E5D4492DD523}"/>
      </w:docPartPr>
      <w:docPartBody>
        <w:p w:rsidR="00000000" w:rsidRDefault="002A453D"/>
      </w:docPartBody>
    </w:docPart>
    <w:docPart>
      <w:docPartPr>
        <w:name w:val="710B1BE915BD47B499F0D54B282F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9797-21D9-4D32-812E-4A2674C10256}"/>
      </w:docPartPr>
      <w:docPartBody>
        <w:p w:rsidR="00000000" w:rsidRDefault="002A453D"/>
      </w:docPartBody>
    </w:docPart>
    <w:docPart>
      <w:docPartPr>
        <w:name w:val="F1CD258AD205498DB6194677B119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3672-85FE-4E0B-8514-BED15F2B638B}"/>
      </w:docPartPr>
      <w:docPartBody>
        <w:p w:rsidR="00000000" w:rsidRDefault="002A453D"/>
      </w:docPartBody>
    </w:docPart>
    <w:docPart>
      <w:docPartPr>
        <w:name w:val="E713CFFCE6B949FCA493ED2BB9B1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23D4-93B9-410E-935C-D067FF03050F}"/>
      </w:docPartPr>
      <w:docPartBody>
        <w:p w:rsidR="00000000" w:rsidRDefault="009045C4" w:rsidP="009045C4">
          <w:pPr>
            <w:pStyle w:val="E713CFFCE6B949FCA493ED2BB9B139E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B0DCC8913EC480FA7E161C98F35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ECEE-AFB8-4E06-B6D2-5E60DD3C3A7D}"/>
      </w:docPartPr>
      <w:docPartBody>
        <w:p w:rsidR="00000000" w:rsidRDefault="002A453D"/>
      </w:docPartBody>
    </w:docPart>
    <w:docPart>
      <w:docPartPr>
        <w:name w:val="FD3898BC7027403FB7D95EC222BA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F1A7-4BB5-419E-A1A1-5A965E1764B5}"/>
      </w:docPartPr>
      <w:docPartBody>
        <w:p w:rsidR="00000000" w:rsidRDefault="002A453D"/>
      </w:docPartBody>
    </w:docPart>
    <w:docPart>
      <w:docPartPr>
        <w:name w:val="AF89E43B7A9E45BA8C464DA1140CE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2C1A-A77C-4685-9E16-DB8F540249E8}"/>
      </w:docPartPr>
      <w:docPartBody>
        <w:p w:rsidR="00000000" w:rsidRDefault="009045C4" w:rsidP="009045C4">
          <w:pPr>
            <w:pStyle w:val="AF89E43B7A9E45BA8C464DA1140CE63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C2C6DF60420485798C232EE4E3C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9E34-F4EC-4BA3-8DDB-0AB92FADE3ED}"/>
      </w:docPartPr>
      <w:docPartBody>
        <w:p w:rsidR="00000000" w:rsidRDefault="002A453D"/>
      </w:docPartBody>
    </w:docPart>
    <w:docPart>
      <w:docPartPr>
        <w:name w:val="BCFC9A195743499B91A5D30D39D9E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19A0-22B0-43B8-904C-3F13133A85E2}"/>
      </w:docPartPr>
      <w:docPartBody>
        <w:p w:rsidR="00000000" w:rsidRDefault="002A45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53D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45C4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5C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713CFFCE6B949FCA493ED2BB9B139EC">
    <w:name w:val="E713CFFCE6B949FCA493ED2BB9B139EC"/>
    <w:rsid w:val="009045C4"/>
    <w:pPr>
      <w:spacing w:after="160" w:line="259" w:lineRule="auto"/>
    </w:pPr>
  </w:style>
  <w:style w:type="paragraph" w:customStyle="1" w:styleId="AF89E43B7A9E45BA8C464DA1140CE63E">
    <w:name w:val="AF89E43B7A9E45BA8C464DA1140CE63E"/>
    <w:rsid w:val="009045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63BD57F-A7D7-4F47-9A81-3E050D39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1</Pages>
  <Words>346</Words>
  <Characters>1975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cp:lastPrinted>2021-03-27T00:20:00Z</cp:lastPrinted>
  <dcterms:created xsi:type="dcterms:W3CDTF">2015-05-29T14:24:00Z</dcterms:created>
  <dcterms:modified xsi:type="dcterms:W3CDTF">2021-03-27T00:23:00Z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