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21488" w14:paraId="732FF960" w14:textId="77777777" w:rsidTr="00345119">
        <w:tc>
          <w:tcPr>
            <w:tcW w:w="9576" w:type="dxa"/>
            <w:noWrap/>
          </w:tcPr>
          <w:p w14:paraId="739340F5" w14:textId="77777777" w:rsidR="008423E4" w:rsidRPr="0022177D" w:rsidRDefault="00B02FF3" w:rsidP="00C05A9C">
            <w:pPr>
              <w:pStyle w:val="Heading1"/>
            </w:pPr>
            <w:bookmarkStart w:id="0" w:name="_GoBack"/>
            <w:bookmarkEnd w:id="0"/>
            <w:r w:rsidRPr="00631897">
              <w:t>BILL ANALYSIS</w:t>
            </w:r>
          </w:p>
        </w:tc>
      </w:tr>
    </w:tbl>
    <w:p w14:paraId="127EDA2E" w14:textId="77777777" w:rsidR="008423E4" w:rsidRPr="0022177D" w:rsidRDefault="008423E4" w:rsidP="00C05A9C">
      <w:pPr>
        <w:jc w:val="center"/>
      </w:pPr>
    </w:p>
    <w:p w14:paraId="2784C565" w14:textId="77777777" w:rsidR="008423E4" w:rsidRPr="00B31F0E" w:rsidRDefault="008423E4" w:rsidP="00C05A9C"/>
    <w:p w14:paraId="2B956D63" w14:textId="77777777" w:rsidR="008423E4" w:rsidRPr="00742794" w:rsidRDefault="008423E4" w:rsidP="00C05A9C">
      <w:pPr>
        <w:tabs>
          <w:tab w:val="right" w:pos="9360"/>
        </w:tabs>
      </w:pPr>
    </w:p>
    <w:tbl>
      <w:tblPr>
        <w:tblW w:w="0" w:type="auto"/>
        <w:tblLayout w:type="fixed"/>
        <w:tblLook w:val="01E0" w:firstRow="1" w:lastRow="1" w:firstColumn="1" w:lastColumn="1" w:noHBand="0" w:noVBand="0"/>
      </w:tblPr>
      <w:tblGrid>
        <w:gridCol w:w="9576"/>
      </w:tblGrid>
      <w:tr w:rsidR="00D21488" w14:paraId="6C36A18F" w14:textId="77777777" w:rsidTr="00345119">
        <w:tc>
          <w:tcPr>
            <w:tcW w:w="9576" w:type="dxa"/>
          </w:tcPr>
          <w:p w14:paraId="1E924390" w14:textId="4247A7A1" w:rsidR="008423E4" w:rsidRPr="00861995" w:rsidRDefault="00B02FF3" w:rsidP="00C05A9C">
            <w:pPr>
              <w:jc w:val="right"/>
            </w:pPr>
            <w:r>
              <w:t>C.S.S.B. 1397</w:t>
            </w:r>
          </w:p>
        </w:tc>
      </w:tr>
      <w:tr w:rsidR="00D21488" w14:paraId="7AD5A980" w14:textId="77777777" w:rsidTr="00345119">
        <w:tc>
          <w:tcPr>
            <w:tcW w:w="9576" w:type="dxa"/>
          </w:tcPr>
          <w:p w14:paraId="06E0D846" w14:textId="64C77C54" w:rsidR="008423E4" w:rsidRPr="00861995" w:rsidRDefault="00B02FF3" w:rsidP="006622D5">
            <w:pPr>
              <w:jc w:val="right"/>
            </w:pPr>
            <w:r>
              <w:t xml:space="preserve">By: </w:t>
            </w:r>
            <w:r w:rsidR="006622D5">
              <w:t>Hinojosa</w:t>
            </w:r>
          </w:p>
        </w:tc>
      </w:tr>
      <w:tr w:rsidR="00D21488" w14:paraId="0494C24F" w14:textId="77777777" w:rsidTr="00345119">
        <w:tc>
          <w:tcPr>
            <w:tcW w:w="9576" w:type="dxa"/>
          </w:tcPr>
          <w:p w14:paraId="71D49CEA" w14:textId="26708119" w:rsidR="008423E4" w:rsidRPr="00861995" w:rsidRDefault="00B02FF3" w:rsidP="00C05A9C">
            <w:pPr>
              <w:jc w:val="right"/>
            </w:pPr>
            <w:r>
              <w:t>Public Health</w:t>
            </w:r>
          </w:p>
        </w:tc>
      </w:tr>
      <w:tr w:rsidR="00D21488" w14:paraId="424EFAB5" w14:textId="77777777" w:rsidTr="00345119">
        <w:tc>
          <w:tcPr>
            <w:tcW w:w="9576" w:type="dxa"/>
          </w:tcPr>
          <w:p w14:paraId="59EF0992" w14:textId="3FFE4C81" w:rsidR="008423E4" w:rsidRDefault="00B02FF3" w:rsidP="00C05A9C">
            <w:pPr>
              <w:jc w:val="right"/>
            </w:pPr>
            <w:r>
              <w:t>Committee Report (Substituted)</w:t>
            </w:r>
          </w:p>
        </w:tc>
      </w:tr>
    </w:tbl>
    <w:p w14:paraId="6AF4D555" w14:textId="77777777" w:rsidR="008423E4" w:rsidRDefault="008423E4" w:rsidP="00C05A9C">
      <w:pPr>
        <w:tabs>
          <w:tab w:val="right" w:pos="9360"/>
        </w:tabs>
      </w:pPr>
    </w:p>
    <w:p w14:paraId="4DA90714" w14:textId="77777777" w:rsidR="008423E4" w:rsidRDefault="008423E4" w:rsidP="00C05A9C"/>
    <w:p w14:paraId="68816500" w14:textId="77777777" w:rsidR="008423E4" w:rsidRDefault="008423E4" w:rsidP="00C05A9C"/>
    <w:tbl>
      <w:tblPr>
        <w:tblW w:w="0" w:type="auto"/>
        <w:tblCellMar>
          <w:left w:w="115" w:type="dxa"/>
          <w:right w:w="115" w:type="dxa"/>
        </w:tblCellMar>
        <w:tblLook w:val="01E0" w:firstRow="1" w:lastRow="1" w:firstColumn="1" w:lastColumn="1" w:noHBand="0" w:noVBand="0"/>
      </w:tblPr>
      <w:tblGrid>
        <w:gridCol w:w="9360"/>
      </w:tblGrid>
      <w:tr w:rsidR="00D21488" w14:paraId="3FADD3C6" w14:textId="77777777" w:rsidTr="007A0CBE">
        <w:tc>
          <w:tcPr>
            <w:tcW w:w="9360" w:type="dxa"/>
          </w:tcPr>
          <w:p w14:paraId="470CAFEE" w14:textId="77777777" w:rsidR="008423E4" w:rsidRPr="00A8133F" w:rsidRDefault="00B02FF3" w:rsidP="00C05A9C">
            <w:pPr>
              <w:rPr>
                <w:b/>
              </w:rPr>
            </w:pPr>
            <w:r w:rsidRPr="009C1E9A">
              <w:rPr>
                <w:b/>
                <w:u w:val="single"/>
              </w:rPr>
              <w:t>BACKGROUND AND PURPOSE</w:t>
            </w:r>
            <w:r>
              <w:rPr>
                <w:b/>
              </w:rPr>
              <w:t xml:space="preserve"> </w:t>
            </w:r>
          </w:p>
          <w:p w14:paraId="4CC60BC3" w14:textId="77777777" w:rsidR="008423E4" w:rsidRDefault="008423E4" w:rsidP="00C05A9C"/>
          <w:p w14:paraId="6CCE98E0" w14:textId="42847F74" w:rsidR="008423E4" w:rsidRDefault="00B02FF3" w:rsidP="00C05A9C">
            <w:pPr>
              <w:pStyle w:val="Header"/>
              <w:tabs>
                <w:tab w:val="clear" w:pos="4320"/>
                <w:tab w:val="clear" w:pos="8640"/>
              </w:tabs>
              <w:jc w:val="both"/>
            </w:pPr>
            <w:r>
              <w:t xml:space="preserve">It has been suggested that </w:t>
            </w:r>
            <w:r w:rsidR="00517C09" w:rsidRPr="00517C09">
              <w:t>Trauma Service Area V lacks both tracking data and a centraliz</w:t>
            </w:r>
            <w:r w:rsidR="00517C09">
              <w:t>ed system for the dispatch,  t</w:t>
            </w:r>
            <w:r w:rsidR="00517C09" w:rsidRPr="00517C09">
              <w:t xml:space="preserve">riage, transport, and transfer of patients and </w:t>
            </w:r>
            <w:r w:rsidR="00517C09">
              <w:t>consequently</w:t>
            </w:r>
            <w:r w:rsidR="00517C09" w:rsidRPr="00517C09">
              <w:t xml:space="preserve"> does not have the most efficient utilization of trauma care and emergency medical service resources </w:t>
            </w:r>
            <w:r w:rsidR="00517C09">
              <w:t>as evidenced</w:t>
            </w:r>
            <w:r w:rsidR="00517C09" w:rsidRPr="00517C09">
              <w:t xml:space="preserve"> by patients being unnecessarily transferred outside the region. </w:t>
            </w:r>
            <w:r w:rsidR="00D11264">
              <w:t>There have been calls to establish a</w:t>
            </w:r>
            <w:r w:rsidR="00136E4A" w:rsidRPr="00136E4A">
              <w:t xml:space="preserve"> system</w:t>
            </w:r>
            <w:r w:rsidR="00D11264">
              <w:t xml:space="preserve"> to facilitate cooperation between</w:t>
            </w:r>
            <w:r w:rsidR="00136E4A" w:rsidRPr="00136E4A">
              <w:t xml:space="preserve"> emergency service</w:t>
            </w:r>
            <w:r w:rsidR="00D11264">
              <w:t xml:space="preserve"> providers and health care </w:t>
            </w:r>
            <w:r w:rsidR="00136E4A" w:rsidRPr="00136E4A">
              <w:t>facilities</w:t>
            </w:r>
            <w:r w:rsidR="00AB7BAE">
              <w:t xml:space="preserve"> in the area</w:t>
            </w:r>
            <w:r w:rsidR="00136E4A" w:rsidRPr="00136E4A">
              <w:t xml:space="preserve">. </w:t>
            </w:r>
            <w:r w:rsidR="00992EB3">
              <w:t>C.S.</w:t>
            </w:r>
            <w:r w:rsidR="00136E4A" w:rsidRPr="00136E4A">
              <w:t xml:space="preserve">S.B. 1397 </w:t>
            </w:r>
            <w:r w:rsidR="00D11264">
              <w:t>seeks to address this issue by</w:t>
            </w:r>
            <w:r w:rsidR="00517C09">
              <w:t xml:space="preserve"> </w:t>
            </w:r>
            <w:r w:rsidR="00517C09" w:rsidRPr="00517C09">
              <w:t>requiring certain regional advisory councils to collect data on patient transfers outside their geographic boundaries and to develop regional protocols and processes to assist the council in managing the dispatch, triage, transport, and transfer of patients within the geographic boundaries of the council</w:t>
            </w:r>
            <w:r w:rsidR="00136E4A" w:rsidRPr="00136E4A">
              <w:t>.</w:t>
            </w:r>
          </w:p>
          <w:p w14:paraId="4CCBC0BC" w14:textId="77777777" w:rsidR="008423E4" w:rsidRPr="00E26B13" w:rsidRDefault="008423E4" w:rsidP="00C05A9C">
            <w:pPr>
              <w:rPr>
                <w:b/>
              </w:rPr>
            </w:pPr>
          </w:p>
        </w:tc>
      </w:tr>
      <w:tr w:rsidR="00D21488" w14:paraId="763BA860" w14:textId="77777777" w:rsidTr="007A0CBE">
        <w:tc>
          <w:tcPr>
            <w:tcW w:w="9360" w:type="dxa"/>
          </w:tcPr>
          <w:p w14:paraId="0AA226DA" w14:textId="77777777" w:rsidR="0017725B" w:rsidRDefault="00B02FF3" w:rsidP="00C05A9C">
            <w:pPr>
              <w:rPr>
                <w:b/>
                <w:u w:val="single"/>
              </w:rPr>
            </w:pPr>
            <w:r>
              <w:rPr>
                <w:b/>
                <w:u w:val="single"/>
              </w:rPr>
              <w:t>CRIMINAL JUSTICE IMPACT</w:t>
            </w:r>
          </w:p>
          <w:p w14:paraId="09B93D75" w14:textId="77777777" w:rsidR="0017725B" w:rsidRDefault="0017725B" w:rsidP="00C05A9C">
            <w:pPr>
              <w:rPr>
                <w:b/>
                <w:u w:val="single"/>
              </w:rPr>
            </w:pPr>
          </w:p>
          <w:p w14:paraId="22777730" w14:textId="77777777" w:rsidR="00CA2F89" w:rsidRPr="00CA2F89" w:rsidRDefault="00B02FF3" w:rsidP="00C05A9C">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14:paraId="5C24436E" w14:textId="77777777" w:rsidR="0017725B" w:rsidRPr="0017725B" w:rsidRDefault="0017725B" w:rsidP="00C05A9C">
            <w:pPr>
              <w:rPr>
                <w:b/>
                <w:u w:val="single"/>
              </w:rPr>
            </w:pPr>
          </w:p>
        </w:tc>
      </w:tr>
      <w:tr w:rsidR="00D21488" w14:paraId="79925F82" w14:textId="77777777" w:rsidTr="007A0CBE">
        <w:tc>
          <w:tcPr>
            <w:tcW w:w="9360" w:type="dxa"/>
          </w:tcPr>
          <w:p w14:paraId="69B76DC6" w14:textId="77777777" w:rsidR="008423E4" w:rsidRPr="00A8133F" w:rsidRDefault="00B02FF3" w:rsidP="00C05A9C">
            <w:pPr>
              <w:rPr>
                <w:b/>
              </w:rPr>
            </w:pPr>
            <w:r w:rsidRPr="009C1E9A">
              <w:rPr>
                <w:b/>
                <w:u w:val="single"/>
              </w:rPr>
              <w:t>RULEMAKING AUTHORITY</w:t>
            </w:r>
            <w:r>
              <w:rPr>
                <w:b/>
              </w:rPr>
              <w:t xml:space="preserve"> </w:t>
            </w:r>
          </w:p>
          <w:p w14:paraId="3CFB2B5B" w14:textId="77777777" w:rsidR="008423E4" w:rsidRDefault="008423E4" w:rsidP="00C05A9C"/>
          <w:p w14:paraId="0ABB2784" w14:textId="77777777" w:rsidR="00CA2F89" w:rsidRDefault="00B02FF3" w:rsidP="00C05A9C">
            <w:pPr>
              <w:pStyle w:val="Header"/>
              <w:tabs>
                <w:tab w:val="clear" w:pos="4320"/>
                <w:tab w:val="clear" w:pos="8640"/>
              </w:tabs>
              <w:jc w:val="both"/>
            </w:pPr>
            <w:r>
              <w:t xml:space="preserve">It is the committee's opinion that rulemaking authority is expressly granted to the executive commissioner </w:t>
            </w:r>
            <w:r w:rsidR="00992EB3">
              <w:t xml:space="preserve">of the Health and Human Services Commission </w:t>
            </w:r>
            <w:r>
              <w:t xml:space="preserve">in </w:t>
            </w:r>
            <w:r w:rsidR="00992EB3">
              <w:t xml:space="preserve">SECTION 1 </w:t>
            </w:r>
            <w:r>
              <w:t>of this bill.</w:t>
            </w:r>
          </w:p>
          <w:p w14:paraId="48E7A42E" w14:textId="77777777" w:rsidR="008423E4" w:rsidRPr="00E21FDC" w:rsidRDefault="008423E4" w:rsidP="00C05A9C">
            <w:pPr>
              <w:rPr>
                <w:b/>
              </w:rPr>
            </w:pPr>
          </w:p>
        </w:tc>
      </w:tr>
      <w:tr w:rsidR="00D21488" w14:paraId="4E721726" w14:textId="77777777" w:rsidTr="007A0CBE">
        <w:tc>
          <w:tcPr>
            <w:tcW w:w="9360" w:type="dxa"/>
          </w:tcPr>
          <w:p w14:paraId="7F670685" w14:textId="77777777" w:rsidR="008423E4" w:rsidRPr="00A8133F" w:rsidRDefault="00B02FF3" w:rsidP="00C05A9C">
            <w:pPr>
              <w:rPr>
                <w:b/>
              </w:rPr>
            </w:pPr>
            <w:r w:rsidRPr="009C1E9A">
              <w:rPr>
                <w:b/>
                <w:u w:val="single"/>
              </w:rPr>
              <w:t>ANALYSIS</w:t>
            </w:r>
            <w:r>
              <w:rPr>
                <w:b/>
              </w:rPr>
              <w:t xml:space="preserve"> </w:t>
            </w:r>
          </w:p>
          <w:p w14:paraId="2E7205BE" w14:textId="77777777" w:rsidR="008423E4" w:rsidRDefault="008423E4" w:rsidP="00C05A9C"/>
          <w:p w14:paraId="67531360" w14:textId="1227AF70" w:rsidR="009C36CD" w:rsidRDefault="00B02FF3" w:rsidP="00C05A9C">
            <w:pPr>
              <w:pStyle w:val="Header"/>
              <w:tabs>
                <w:tab w:val="clear" w:pos="4320"/>
                <w:tab w:val="clear" w:pos="8640"/>
              </w:tabs>
              <w:jc w:val="both"/>
            </w:pPr>
            <w:r>
              <w:t>C.S.S.B. 1397</w:t>
            </w:r>
            <w:r w:rsidR="008F1201">
              <w:t xml:space="preserve"> amends the Health and Safety Code </w:t>
            </w:r>
            <w:r w:rsidR="00AB7BAE">
              <w:t xml:space="preserve">to </w:t>
            </w:r>
            <w:r w:rsidR="008F1201">
              <w:t>require the executive commissioner of the Health and Human Services Commission</w:t>
            </w:r>
            <w:r w:rsidR="009F766C">
              <w:t xml:space="preserve"> (HHSC)</w:t>
            </w:r>
            <w:r w:rsidR="00E47998">
              <w:t xml:space="preserve">, for each trauma service area regional advisory council serving a geographic area that includes at least one county located on the international border of Texas and at least one county adjacent to the Gulf of Mexico, to </w:t>
            </w:r>
            <w:r w:rsidR="00FD168A">
              <w:t>require</w:t>
            </w:r>
            <w:r w:rsidR="00E47998">
              <w:t xml:space="preserve"> the following by rule:</w:t>
            </w:r>
          </w:p>
          <w:p w14:paraId="791B4368" w14:textId="0F4719EB" w:rsidR="00E47998" w:rsidRDefault="00B02FF3" w:rsidP="00C05A9C">
            <w:pPr>
              <w:pStyle w:val="Header"/>
              <w:numPr>
                <w:ilvl w:val="0"/>
                <w:numId w:val="1"/>
              </w:numPr>
              <w:jc w:val="both"/>
            </w:pPr>
            <w:r>
              <w:t xml:space="preserve">require the </w:t>
            </w:r>
            <w:r w:rsidR="00FD168A">
              <w:t xml:space="preserve">advisory </w:t>
            </w:r>
            <w:r>
              <w:t>council to create an advisory committee composed of equally represented designated trauma hospital system members lo</w:t>
            </w:r>
            <w:r>
              <w:t xml:space="preserve">cated within the </w:t>
            </w:r>
            <w:r w:rsidR="00470947">
              <w:t xml:space="preserve">council's </w:t>
            </w:r>
            <w:r>
              <w:t xml:space="preserve">geographic boundaries or </w:t>
            </w:r>
            <w:r w:rsidR="00470947">
              <w:t xml:space="preserve">to </w:t>
            </w:r>
            <w:r>
              <w:t xml:space="preserve">direct an existing advisory committee of the council established </w:t>
            </w:r>
            <w:r w:rsidR="0099030B">
              <w:t xml:space="preserve">for a purpose similar </w:t>
            </w:r>
            <w:r w:rsidR="009B7631">
              <w:t xml:space="preserve">to </w:t>
            </w:r>
            <w:r w:rsidR="0099030B">
              <w:t xml:space="preserve">ensuring </w:t>
            </w:r>
            <w:r>
              <w:t xml:space="preserve">that patients located in </w:t>
            </w:r>
            <w:r w:rsidR="00470947">
              <w:t xml:space="preserve">those </w:t>
            </w:r>
            <w:r>
              <w:t xml:space="preserve">boundaries receive health care at the </w:t>
            </w:r>
            <w:r w:rsidR="009B7631">
              <w:t xml:space="preserve">closest and most appropriate </w:t>
            </w:r>
            <w:r>
              <w:t>faci</w:t>
            </w:r>
            <w:r>
              <w:t>lity to</w:t>
            </w:r>
            <w:r w:rsidR="00716A89">
              <w:t xml:space="preserve"> </w:t>
            </w:r>
            <w:r w:rsidR="00AB7BAE">
              <w:t>take the following actions</w:t>
            </w:r>
            <w:r>
              <w:t>:</w:t>
            </w:r>
          </w:p>
          <w:p w14:paraId="25F5DE73" w14:textId="77777777" w:rsidR="00E47998" w:rsidRDefault="00B02FF3" w:rsidP="00C05A9C">
            <w:pPr>
              <w:pStyle w:val="Header"/>
              <w:numPr>
                <w:ilvl w:val="1"/>
                <w:numId w:val="1"/>
              </w:numPr>
              <w:jc w:val="both"/>
            </w:pPr>
            <w:r>
              <w:t>develop guidelines for patient transfers; and</w:t>
            </w:r>
          </w:p>
          <w:p w14:paraId="6463AA62" w14:textId="77777777" w:rsidR="00E47998" w:rsidRDefault="00B02FF3" w:rsidP="00C05A9C">
            <w:pPr>
              <w:pStyle w:val="Header"/>
              <w:numPr>
                <w:ilvl w:val="1"/>
                <w:numId w:val="1"/>
              </w:numPr>
              <w:jc w:val="both"/>
            </w:pPr>
            <w:r>
              <w:t>periodically review patient transfers to ensure compliance with applicable guidelines;</w:t>
            </w:r>
          </w:p>
          <w:p w14:paraId="5E8C4BD0" w14:textId="3ECF1484" w:rsidR="00E47998" w:rsidRDefault="00B02FF3" w:rsidP="00C05A9C">
            <w:pPr>
              <w:pStyle w:val="Header"/>
              <w:numPr>
                <w:ilvl w:val="0"/>
                <w:numId w:val="1"/>
              </w:numPr>
              <w:jc w:val="both"/>
            </w:pPr>
            <w:r>
              <w:t xml:space="preserve">require the advisory council, for the purpose of ensuring that patients located in the </w:t>
            </w:r>
            <w:r>
              <w:t>council's geographic boundaries receive health care at the facility closest to and most appropriate for the patients, to develop regional protocols and processes to assist the council in managing the dispatch, triage, transport, and transfer of patients; a</w:t>
            </w:r>
            <w:r>
              <w:t>nd</w:t>
            </w:r>
          </w:p>
          <w:p w14:paraId="47455F13" w14:textId="2952EFFC" w:rsidR="00E47998" w:rsidRDefault="00B02FF3" w:rsidP="00C05A9C">
            <w:pPr>
              <w:pStyle w:val="Header"/>
              <w:numPr>
                <w:ilvl w:val="0"/>
                <w:numId w:val="1"/>
              </w:numPr>
              <w:jc w:val="both"/>
            </w:pPr>
            <w:r>
              <w:t xml:space="preserve">require each hospital and emergency medical services provider operating within the </w:t>
            </w:r>
            <w:r w:rsidR="00423CE0">
              <w:t xml:space="preserve">advisory </w:t>
            </w:r>
            <w:r>
              <w:t xml:space="preserve">council's geographic boundaries to collect and report to the council data on patients transferred outside </w:t>
            </w:r>
            <w:r w:rsidR="0099030B">
              <w:t>those</w:t>
            </w:r>
            <w:r>
              <w:t xml:space="preserve"> boundaries.</w:t>
            </w:r>
          </w:p>
          <w:p w14:paraId="547B8DD2" w14:textId="2C37A0BD" w:rsidR="009B7631" w:rsidRPr="009C36CD" w:rsidRDefault="00B02FF3" w:rsidP="00C05A9C">
            <w:pPr>
              <w:pStyle w:val="Header"/>
              <w:jc w:val="both"/>
            </w:pPr>
            <w:r>
              <w:t>The bill requires the executive commi</w:t>
            </w:r>
            <w:r>
              <w:t xml:space="preserve">ssioner, not later than April 1, 2022, </w:t>
            </w:r>
            <w:r w:rsidR="000C09E9">
              <w:t xml:space="preserve">to adopt the rules required </w:t>
            </w:r>
            <w:r>
              <w:t xml:space="preserve">under </w:t>
            </w:r>
            <w:r w:rsidR="000C09E9">
              <w:t>the bill</w:t>
            </w:r>
            <w:r>
              <w:t>'s provisions</w:t>
            </w:r>
            <w:r w:rsidR="000C09E9">
              <w:t>.</w:t>
            </w:r>
          </w:p>
          <w:p w14:paraId="22FC91CC" w14:textId="77777777" w:rsidR="008423E4" w:rsidRPr="00835628" w:rsidRDefault="008423E4" w:rsidP="00C05A9C">
            <w:pPr>
              <w:rPr>
                <w:b/>
              </w:rPr>
            </w:pPr>
          </w:p>
        </w:tc>
      </w:tr>
      <w:tr w:rsidR="00D21488" w14:paraId="25E33C38" w14:textId="77777777" w:rsidTr="007A0CBE">
        <w:tc>
          <w:tcPr>
            <w:tcW w:w="9360" w:type="dxa"/>
          </w:tcPr>
          <w:p w14:paraId="09EEF70E" w14:textId="77777777" w:rsidR="008423E4" w:rsidRPr="00A8133F" w:rsidRDefault="00B02FF3" w:rsidP="00C05A9C">
            <w:pPr>
              <w:rPr>
                <w:b/>
              </w:rPr>
            </w:pPr>
            <w:r w:rsidRPr="009C1E9A">
              <w:rPr>
                <w:b/>
                <w:u w:val="single"/>
              </w:rPr>
              <w:t>EFFECTIVE DATE</w:t>
            </w:r>
            <w:r>
              <w:rPr>
                <w:b/>
              </w:rPr>
              <w:t xml:space="preserve"> </w:t>
            </w:r>
          </w:p>
          <w:p w14:paraId="2F889D4B" w14:textId="77777777" w:rsidR="008423E4" w:rsidRDefault="008423E4" w:rsidP="00C05A9C"/>
          <w:p w14:paraId="27070B7B" w14:textId="77777777" w:rsidR="008423E4" w:rsidRPr="003624F2" w:rsidRDefault="00B02FF3" w:rsidP="00C05A9C">
            <w:pPr>
              <w:pStyle w:val="Header"/>
              <w:tabs>
                <w:tab w:val="clear" w:pos="4320"/>
                <w:tab w:val="clear" w:pos="8640"/>
              </w:tabs>
              <w:jc w:val="both"/>
            </w:pPr>
            <w:r>
              <w:t>On passage, or, if the bill does not receive the necessary vote, September 1, 2021.</w:t>
            </w:r>
          </w:p>
          <w:p w14:paraId="5450413A" w14:textId="77777777" w:rsidR="008423E4" w:rsidRPr="00233FDB" w:rsidRDefault="008423E4" w:rsidP="00C05A9C">
            <w:pPr>
              <w:rPr>
                <w:b/>
              </w:rPr>
            </w:pPr>
          </w:p>
        </w:tc>
      </w:tr>
      <w:tr w:rsidR="00D21488" w14:paraId="49FB68AE" w14:textId="77777777" w:rsidTr="007A0CBE">
        <w:tc>
          <w:tcPr>
            <w:tcW w:w="9360" w:type="dxa"/>
          </w:tcPr>
          <w:p w14:paraId="0A5A18EE" w14:textId="77777777" w:rsidR="006622D5" w:rsidRDefault="00B02FF3" w:rsidP="006622D5">
            <w:pPr>
              <w:jc w:val="both"/>
              <w:rPr>
                <w:b/>
                <w:u w:val="single"/>
              </w:rPr>
            </w:pPr>
            <w:r>
              <w:rPr>
                <w:b/>
                <w:u w:val="single"/>
              </w:rPr>
              <w:t>COMPARISON OF SENATE ENGROSSED AND SUBSTITUTE</w:t>
            </w:r>
          </w:p>
          <w:p w14:paraId="643F8280" w14:textId="77777777" w:rsidR="000C09E9" w:rsidRDefault="000C09E9" w:rsidP="006622D5">
            <w:pPr>
              <w:jc w:val="both"/>
              <w:rPr>
                <w:b/>
                <w:u w:val="single"/>
              </w:rPr>
            </w:pPr>
          </w:p>
          <w:p w14:paraId="4468CC09" w14:textId="77777777" w:rsidR="007A0CBE" w:rsidRDefault="00B02FF3" w:rsidP="007A0CBE">
            <w:pPr>
              <w:jc w:val="both"/>
            </w:pPr>
            <w:r>
              <w:t xml:space="preserve">While </w:t>
            </w:r>
            <w:r>
              <w:t>C.S.S.B. 1397 may differ from the engrossed in minor or nonsubstantive ways, the following summarizes the substantial differences between the engrossed and committee substitute versions of the bill.</w:t>
            </w:r>
          </w:p>
          <w:p w14:paraId="0368461F" w14:textId="77777777" w:rsidR="007A0CBE" w:rsidRDefault="007A0CBE" w:rsidP="007A0CBE">
            <w:pPr>
              <w:jc w:val="both"/>
            </w:pPr>
          </w:p>
          <w:p w14:paraId="5256C65D" w14:textId="77777777" w:rsidR="007A0CBE" w:rsidRDefault="00B02FF3" w:rsidP="007A0CBE">
            <w:pPr>
              <w:jc w:val="both"/>
            </w:pPr>
            <w:r>
              <w:t>The substitute changes from the Department of State Heal</w:t>
            </w:r>
            <w:r>
              <w:t xml:space="preserve">th Services, as indicated in the engrossed, to the executive commissioner of HHSC the entity required to establish certain requirements by rule for each applicable trauma service area regional advisory council. </w:t>
            </w:r>
          </w:p>
          <w:p w14:paraId="6604B2FA" w14:textId="77777777" w:rsidR="007A0CBE" w:rsidRDefault="007A0CBE" w:rsidP="007A0CBE">
            <w:pPr>
              <w:jc w:val="both"/>
            </w:pPr>
          </w:p>
          <w:p w14:paraId="5D530ED0" w14:textId="77777777" w:rsidR="007A0CBE" w:rsidRDefault="00B02FF3" w:rsidP="007A0CBE">
            <w:pPr>
              <w:jc w:val="both"/>
            </w:pPr>
            <w:r>
              <w:t xml:space="preserve">The substitute revises the requirements in </w:t>
            </w:r>
            <w:r>
              <w:t>the engrossed as follows:</w:t>
            </w:r>
          </w:p>
          <w:p w14:paraId="566C3447" w14:textId="77777777" w:rsidR="007A0CBE" w:rsidRDefault="00B02FF3" w:rsidP="007A0CBE">
            <w:pPr>
              <w:pStyle w:val="ListParagraph"/>
              <w:numPr>
                <w:ilvl w:val="0"/>
                <w:numId w:val="2"/>
              </w:numPr>
              <w:contextualSpacing w:val="0"/>
              <w:jc w:val="both"/>
            </w:pPr>
            <w:r>
              <w:t>gives the executive commissioner the option of requiring the advisory council to direct an existing advisory committee of the council to develop guidelines for and review patient transfers as an alternative to requiring the counci</w:t>
            </w:r>
            <w:r>
              <w:t>l to create an advisory committee to develop the guidelines and review the transfers; and</w:t>
            </w:r>
          </w:p>
          <w:p w14:paraId="101E6528" w14:textId="77777777" w:rsidR="007A0CBE" w:rsidRDefault="00B02FF3" w:rsidP="007A0CBE">
            <w:pPr>
              <w:pStyle w:val="ListParagraph"/>
              <w:numPr>
                <w:ilvl w:val="0"/>
                <w:numId w:val="2"/>
              </w:numPr>
              <w:contextualSpacing w:val="0"/>
              <w:jc w:val="both"/>
            </w:pPr>
            <w:r>
              <w:t>changes the nature of the requirement relating to ensuring that specified patients receive health care at the closest and most appropriate facility from providing for</w:t>
            </w:r>
            <w:r>
              <w:t xml:space="preserve"> the advisory council's duty to implement a centralized system for assisting the council in the dispatch, triage, transport, and transfer of patients to providing for the council's duty to develop regional protocols and processes for assisting the council </w:t>
            </w:r>
            <w:r>
              <w:t>in managing the dispatch, triage, transport, and transfer of patients.</w:t>
            </w:r>
          </w:p>
          <w:p w14:paraId="791B6F71" w14:textId="77777777" w:rsidR="007A0CBE" w:rsidRDefault="007A0CBE" w:rsidP="007A0CBE">
            <w:pPr>
              <w:jc w:val="both"/>
            </w:pPr>
          </w:p>
          <w:p w14:paraId="2C8F3FEF" w14:textId="77777777" w:rsidR="007A0CBE" w:rsidRDefault="00B02FF3" w:rsidP="007A0CBE">
            <w:pPr>
              <w:jc w:val="both"/>
            </w:pPr>
            <w:r>
              <w:t>The substitute changes the deadline established by the engrossed for the applicable entity to adopt the rules from not later than January 1, 2022, to not later than April 1, 2022.</w:t>
            </w:r>
          </w:p>
          <w:p w14:paraId="2273A7DC" w14:textId="4381C3C0" w:rsidR="007A0CBE" w:rsidRPr="006622D5" w:rsidRDefault="007A0CBE" w:rsidP="006622D5">
            <w:pPr>
              <w:jc w:val="both"/>
              <w:rPr>
                <w:b/>
                <w:u w:val="single"/>
              </w:rPr>
            </w:pPr>
          </w:p>
        </w:tc>
      </w:tr>
    </w:tbl>
    <w:p w14:paraId="0F499E9C" w14:textId="77777777" w:rsidR="008423E4" w:rsidRPr="00BE0E75" w:rsidRDefault="008423E4" w:rsidP="00C05A9C">
      <w:pPr>
        <w:jc w:val="both"/>
        <w:rPr>
          <w:rFonts w:ascii="Arial" w:hAnsi="Arial"/>
          <w:sz w:val="16"/>
          <w:szCs w:val="16"/>
        </w:rPr>
      </w:pPr>
    </w:p>
    <w:p w14:paraId="16567DE6" w14:textId="77777777" w:rsidR="004108C3" w:rsidRPr="008423E4" w:rsidRDefault="004108C3" w:rsidP="00C05A9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34CB" w14:textId="77777777" w:rsidR="00000000" w:rsidRDefault="00B02FF3">
      <w:r>
        <w:separator/>
      </w:r>
    </w:p>
  </w:endnote>
  <w:endnote w:type="continuationSeparator" w:id="0">
    <w:p w14:paraId="703A1729" w14:textId="77777777" w:rsidR="00000000" w:rsidRDefault="00B0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016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1488" w14:paraId="42C13AC0" w14:textId="77777777" w:rsidTr="009C1E9A">
      <w:trPr>
        <w:cantSplit/>
      </w:trPr>
      <w:tc>
        <w:tcPr>
          <w:tcW w:w="0" w:type="pct"/>
        </w:tcPr>
        <w:p w14:paraId="75105527" w14:textId="77777777" w:rsidR="00137D90" w:rsidRDefault="00137D90" w:rsidP="009C1E9A">
          <w:pPr>
            <w:pStyle w:val="Footer"/>
            <w:tabs>
              <w:tab w:val="clear" w:pos="8640"/>
              <w:tab w:val="right" w:pos="9360"/>
            </w:tabs>
          </w:pPr>
        </w:p>
      </w:tc>
      <w:tc>
        <w:tcPr>
          <w:tcW w:w="2395" w:type="pct"/>
        </w:tcPr>
        <w:p w14:paraId="0E9FB9D3" w14:textId="77777777" w:rsidR="00137D90" w:rsidRDefault="00137D90" w:rsidP="009C1E9A">
          <w:pPr>
            <w:pStyle w:val="Footer"/>
            <w:tabs>
              <w:tab w:val="clear" w:pos="8640"/>
              <w:tab w:val="right" w:pos="9360"/>
            </w:tabs>
          </w:pPr>
        </w:p>
        <w:p w14:paraId="20A8827C" w14:textId="77777777" w:rsidR="001A4310" w:rsidRDefault="001A4310" w:rsidP="009C1E9A">
          <w:pPr>
            <w:pStyle w:val="Footer"/>
            <w:tabs>
              <w:tab w:val="clear" w:pos="8640"/>
              <w:tab w:val="right" w:pos="9360"/>
            </w:tabs>
          </w:pPr>
        </w:p>
        <w:p w14:paraId="7BA296AD" w14:textId="77777777" w:rsidR="00137D90" w:rsidRDefault="00137D90" w:rsidP="009C1E9A">
          <w:pPr>
            <w:pStyle w:val="Footer"/>
            <w:tabs>
              <w:tab w:val="clear" w:pos="8640"/>
              <w:tab w:val="right" w:pos="9360"/>
            </w:tabs>
          </w:pPr>
        </w:p>
      </w:tc>
      <w:tc>
        <w:tcPr>
          <w:tcW w:w="2453" w:type="pct"/>
        </w:tcPr>
        <w:p w14:paraId="277B5D91" w14:textId="77777777" w:rsidR="00137D90" w:rsidRDefault="00137D90" w:rsidP="009C1E9A">
          <w:pPr>
            <w:pStyle w:val="Footer"/>
            <w:tabs>
              <w:tab w:val="clear" w:pos="8640"/>
              <w:tab w:val="right" w:pos="9360"/>
            </w:tabs>
            <w:jc w:val="right"/>
          </w:pPr>
        </w:p>
      </w:tc>
    </w:tr>
    <w:tr w:rsidR="00D21488" w14:paraId="3BCB6840" w14:textId="77777777" w:rsidTr="009C1E9A">
      <w:trPr>
        <w:cantSplit/>
      </w:trPr>
      <w:tc>
        <w:tcPr>
          <w:tcW w:w="0" w:type="pct"/>
        </w:tcPr>
        <w:p w14:paraId="09F79EA3" w14:textId="77777777" w:rsidR="00EC379B" w:rsidRDefault="00EC379B" w:rsidP="009C1E9A">
          <w:pPr>
            <w:pStyle w:val="Footer"/>
            <w:tabs>
              <w:tab w:val="clear" w:pos="8640"/>
              <w:tab w:val="right" w:pos="9360"/>
            </w:tabs>
          </w:pPr>
        </w:p>
      </w:tc>
      <w:tc>
        <w:tcPr>
          <w:tcW w:w="2395" w:type="pct"/>
        </w:tcPr>
        <w:p w14:paraId="7B8D803E" w14:textId="6427297C" w:rsidR="00EC379B" w:rsidRPr="009C1E9A" w:rsidRDefault="00B02FF3" w:rsidP="009C1E9A">
          <w:pPr>
            <w:pStyle w:val="Footer"/>
            <w:tabs>
              <w:tab w:val="clear" w:pos="8640"/>
              <w:tab w:val="right" w:pos="9360"/>
            </w:tabs>
            <w:rPr>
              <w:rFonts w:ascii="Shruti" w:hAnsi="Shruti"/>
              <w:sz w:val="22"/>
            </w:rPr>
          </w:pPr>
          <w:r>
            <w:rPr>
              <w:rFonts w:ascii="Shruti" w:hAnsi="Shruti"/>
              <w:sz w:val="22"/>
            </w:rPr>
            <w:t>87R 28560</w:t>
          </w:r>
        </w:p>
      </w:tc>
      <w:tc>
        <w:tcPr>
          <w:tcW w:w="2453" w:type="pct"/>
        </w:tcPr>
        <w:p w14:paraId="7E7DD117" w14:textId="0279C1C8" w:rsidR="00EC379B" w:rsidRDefault="00B02FF3" w:rsidP="009C1E9A">
          <w:pPr>
            <w:pStyle w:val="Footer"/>
            <w:tabs>
              <w:tab w:val="clear" w:pos="8640"/>
              <w:tab w:val="right" w:pos="9360"/>
            </w:tabs>
            <w:jc w:val="right"/>
          </w:pPr>
          <w:r>
            <w:fldChar w:fldCharType="begin"/>
          </w:r>
          <w:r>
            <w:instrText xml:space="preserve"> DOCPROPERTY  OTID  \* MERGEFORMAT </w:instrText>
          </w:r>
          <w:r>
            <w:fldChar w:fldCharType="separate"/>
          </w:r>
          <w:r w:rsidR="00EF1817">
            <w:t>21.141.725</w:t>
          </w:r>
          <w:r>
            <w:fldChar w:fldCharType="end"/>
          </w:r>
        </w:p>
      </w:tc>
    </w:tr>
    <w:tr w:rsidR="00D21488" w14:paraId="29FC78C8" w14:textId="77777777" w:rsidTr="009C1E9A">
      <w:trPr>
        <w:cantSplit/>
      </w:trPr>
      <w:tc>
        <w:tcPr>
          <w:tcW w:w="0" w:type="pct"/>
        </w:tcPr>
        <w:p w14:paraId="056B33B3" w14:textId="77777777" w:rsidR="00EC379B" w:rsidRDefault="00EC379B" w:rsidP="009C1E9A">
          <w:pPr>
            <w:pStyle w:val="Footer"/>
            <w:tabs>
              <w:tab w:val="clear" w:pos="4320"/>
              <w:tab w:val="clear" w:pos="8640"/>
              <w:tab w:val="left" w:pos="2865"/>
            </w:tabs>
          </w:pPr>
        </w:p>
      </w:tc>
      <w:tc>
        <w:tcPr>
          <w:tcW w:w="2395" w:type="pct"/>
        </w:tcPr>
        <w:p w14:paraId="7CAB0256" w14:textId="6645A77B" w:rsidR="00EC379B" w:rsidRPr="009C1E9A" w:rsidRDefault="00B02FF3" w:rsidP="009C1E9A">
          <w:pPr>
            <w:pStyle w:val="Footer"/>
            <w:tabs>
              <w:tab w:val="clear" w:pos="4320"/>
              <w:tab w:val="clear" w:pos="8640"/>
              <w:tab w:val="left" w:pos="2865"/>
            </w:tabs>
            <w:rPr>
              <w:rFonts w:ascii="Shruti" w:hAnsi="Shruti"/>
              <w:sz w:val="22"/>
            </w:rPr>
          </w:pPr>
          <w:r>
            <w:rPr>
              <w:rFonts w:ascii="Shruti" w:hAnsi="Shruti"/>
              <w:sz w:val="22"/>
            </w:rPr>
            <w:t>Substitute Document Number: 87R 27126</w:t>
          </w:r>
        </w:p>
      </w:tc>
      <w:tc>
        <w:tcPr>
          <w:tcW w:w="2453" w:type="pct"/>
        </w:tcPr>
        <w:p w14:paraId="478592CE" w14:textId="77777777" w:rsidR="00EC379B" w:rsidRDefault="00EC379B" w:rsidP="006D504F">
          <w:pPr>
            <w:pStyle w:val="Footer"/>
            <w:rPr>
              <w:rStyle w:val="PageNumber"/>
            </w:rPr>
          </w:pPr>
        </w:p>
        <w:p w14:paraId="6A5DC286" w14:textId="77777777" w:rsidR="00EC379B" w:rsidRDefault="00EC379B" w:rsidP="009C1E9A">
          <w:pPr>
            <w:pStyle w:val="Footer"/>
            <w:tabs>
              <w:tab w:val="clear" w:pos="8640"/>
              <w:tab w:val="right" w:pos="9360"/>
            </w:tabs>
            <w:jc w:val="right"/>
          </w:pPr>
        </w:p>
      </w:tc>
    </w:tr>
    <w:tr w:rsidR="00D21488" w14:paraId="07122A34" w14:textId="77777777" w:rsidTr="009C1E9A">
      <w:trPr>
        <w:cantSplit/>
        <w:trHeight w:val="323"/>
      </w:trPr>
      <w:tc>
        <w:tcPr>
          <w:tcW w:w="0" w:type="pct"/>
          <w:gridSpan w:val="3"/>
        </w:tcPr>
        <w:p w14:paraId="55B24BEC" w14:textId="7C418250" w:rsidR="00EC379B" w:rsidRDefault="00B02F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F1817">
            <w:rPr>
              <w:rStyle w:val="PageNumber"/>
              <w:noProof/>
            </w:rPr>
            <w:t>2</w:t>
          </w:r>
          <w:r>
            <w:rPr>
              <w:rStyle w:val="PageNumber"/>
            </w:rPr>
            <w:fldChar w:fldCharType="end"/>
          </w:r>
        </w:p>
        <w:p w14:paraId="34179093" w14:textId="77777777" w:rsidR="00EC379B" w:rsidRDefault="00EC379B" w:rsidP="009C1E9A">
          <w:pPr>
            <w:pStyle w:val="Footer"/>
            <w:tabs>
              <w:tab w:val="clear" w:pos="8640"/>
              <w:tab w:val="right" w:pos="9360"/>
            </w:tabs>
            <w:jc w:val="center"/>
          </w:pPr>
        </w:p>
      </w:tc>
    </w:tr>
  </w:tbl>
  <w:p w14:paraId="5EE9B55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824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B84A" w14:textId="77777777" w:rsidR="00000000" w:rsidRDefault="00B02FF3">
      <w:r>
        <w:separator/>
      </w:r>
    </w:p>
  </w:footnote>
  <w:footnote w:type="continuationSeparator" w:id="0">
    <w:p w14:paraId="6F454014" w14:textId="77777777" w:rsidR="00000000" w:rsidRDefault="00B0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5C6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FE2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2EB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1839"/>
    <w:multiLevelType w:val="hybridMultilevel"/>
    <w:tmpl w:val="DF30EF98"/>
    <w:lvl w:ilvl="0" w:tplc="29589860">
      <w:start w:val="1"/>
      <w:numFmt w:val="bullet"/>
      <w:lvlText w:val=""/>
      <w:lvlJc w:val="left"/>
      <w:pPr>
        <w:tabs>
          <w:tab w:val="num" w:pos="720"/>
        </w:tabs>
        <w:ind w:left="720" w:hanging="360"/>
      </w:pPr>
      <w:rPr>
        <w:rFonts w:ascii="Symbol" w:hAnsi="Symbol" w:hint="default"/>
      </w:rPr>
    </w:lvl>
    <w:lvl w:ilvl="1" w:tplc="462EB8F4" w:tentative="1">
      <w:start w:val="1"/>
      <w:numFmt w:val="bullet"/>
      <w:lvlText w:val="o"/>
      <w:lvlJc w:val="left"/>
      <w:pPr>
        <w:ind w:left="1440" w:hanging="360"/>
      </w:pPr>
      <w:rPr>
        <w:rFonts w:ascii="Courier New" w:hAnsi="Courier New" w:cs="Courier New" w:hint="default"/>
      </w:rPr>
    </w:lvl>
    <w:lvl w:ilvl="2" w:tplc="1D2EBBA0" w:tentative="1">
      <w:start w:val="1"/>
      <w:numFmt w:val="bullet"/>
      <w:lvlText w:val=""/>
      <w:lvlJc w:val="left"/>
      <w:pPr>
        <w:ind w:left="2160" w:hanging="360"/>
      </w:pPr>
      <w:rPr>
        <w:rFonts w:ascii="Wingdings" w:hAnsi="Wingdings" w:hint="default"/>
      </w:rPr>
    </w:lvl>
    <w:lvl w:ilvl="3" w:tplc="5E0C87A8" w:tentative="1">
      <w:start w:val="1"/>
      <w:numFmt w:val="bullet"/>
      <w:lvlText w:val=""/>
      <w:lvlJc w:val="left"/>
      <w:pPr>
        <w:ind w:left="2880" w:hanging="360"/>
      </w:pPr>
      <w:rPr>
        <w:rFonts w:ascii="Symbol" w:hAnsi="Symbol" w:hint="default"/>
      </w:rPr>
    </w:lvl>
    <w:lvl w:ilvl="4" w:tplc="A7222F5C" w:tentative="1">
      <w:start w:val="1"/>
      <w:numFmt w:val="bullet"/>
      <w:lvlText w:val="o"/>
      <w:lvlJc w:val="left"/>
      <w:pPr>
        <w:ind w:left="3600" w:hanging="360"/>
      </w:pPr>
      <w:rPr>
        <w:rFonts w:ascii="Courier New" w:hAnsi="Courier New" w:cs="Courier New" w:hint="default"/>
      </w:rPr>
    </w:lvl>
    <w:lvl w:ilvl="5" w:tplc="28A4A7CC" w:tentative="1">
      <w:start w:val="1"/>
      <w:numFmt w:val="bullet"/>
      <w:lvlText w:val=""/>
      <w:lvlJc w:val="left"/>
      <w:pPr>
        <w:ind w:left="4320" w:hanging="360"/>
      </w:pPr>
      <w:rPr>
        <w:rFonts w:ascii="Wingdings" w:hAnsi="Wingdings" w:hint="default"/>
      </w:rPr>
    </w:lvl>
    <w:lvl w:ilvl="6" w:tplc="B6EE76DA" w:tentative="1">
      <w:start w:val="1"/>
      <w:numFmt w:val="bullet"/>
      <w:lvlText w:val=""/>
      <w:lvlJc w:val="left"/>
      <w:pPr>
        <w:ind w:left="5040" w:hanging="360"/>
      </w:pPr>
      <w:rPr>
        <w:rFonts w:ascii="Symbol" w:hAnsi="Symbol" w:hint="default"/>
      </w:rPr>
    </w:lvl>
    <w:lvl w:ilvl="7" w:tplc="1D9E7D14" w:tentative="1">
      <w:start w:val="1"/>
      <w:numFmt w:val="bullet"/>
      <w:lvlText w:val="o"/>
      <w:lvlJc w:val="left"/>
      <w:pPr>
        <w:ind w:left="5760" w:hanging="360"/>
      </w:pPr>
      <w:rPr>
        <w:rFonts w:ascii="Courier New" w:hAnsi="Courier New" w:cs="Courier New" w:hint="default"/>
      </w:rPr>
    </w:lvl>
    <w:lvl w:ilvl="8" w:tplc="01FA2B4C" w:tentative="1">
      <w:start w:val="1"/>
      <w:numFmt w:val="bullet"/>
      <w:lvlText w:val=""/>
      <w:lvlJc w:val="left"/>
      <w:pPr>
        <w:ind w:left="6480" w:hanging="360"/>
      </w:pPr>
      <w:rPr>
        <w:rFonts w:ascii="Wingdings" w:hAnsi="Wingdings" w:hint="default"/>
      </w:rPr>
    </w:lvl>
  </w:abstractNum>
  <w:abstractNum w:abstractNumId="1" w15:restartNumberingAfterBreak="0">
    <w:nsid w:val="457B3798"/>
    <w:multiLevelType w:val="hybridMultilevel"/>
    <w:tmpl w:val="FC7248CE"/>
    <w:lvl w:ilvl="0" w:tplc="8CFAE8F4">
      <w:start w:val="1"/>
      <w:numFmt w:val="bullet"/>
      <w:lvlText w:val=""/>
      <w:lvlJc w:val="left"/>
      <w:pPr>
        <w:tabs>
          <w:tab w:val="num" w:pos="720"/>
        </w:tabs>
        <w:ind w:left="720" w:hanging="360"/>
      </w:pPr>
      <w:rPr>
        <w:rFonts w:ascii="Symbol" w:hAnsi="Symbol" w:hint="default"/>
      </w:rPr>
    </w:lvl>
    <w:lvl w:ilvl="1" w:tplc="5C20BF3E">
      <w:start w:val="1"/>
      <w:numFmt w:val="bullet"/>
      <w:lvlText w:val="o"/>
      <w:lvlJc w:val="left"/>
      <w:pPr>
        <w:ind w:left="1440" w:hanging="360"/>
      </w:pPr>
      <w:rPr>
        <w:rFonts w:ascii="Courier New" w:hAnsi="Courier New" w:cs="Courier New" w:hint="default"/>
      </w:rPr>
    </w:lvl>
    <w:lvl w:ilvl="2" w:tplc="33DA906A" w:tentative="1">
      <w:start w:val="1"/>
      <w:numFmt w:val="bullet"/>
      <w:lvlText w:val=""/>
      <w:lvlJc w:val="left"/>
      <w:pPr>
        <w:ind w:left="2160" w:hanging="360"/>
      </w:pPr>
      <w:rPr>
        <w:rFonts w:ascii="Wingdings" w:hAnsi="Wingdings" w:hint="default"/>
      </w:rPr>
    </w:lvl>
    <w:lvl w:ilvl="3" w:tplc="A9021BDC" w:tentative="1">
      <w:start w:val="1"/>
      <w:numFmt w:val="bullet"/>
      <w:lvlText w:val=""/>
      <w:lvlJc w:val="left"/>
      <w:pPr>
        <w:ind w:left="2880" w:hanging="360"/>
      </w:pPr>
      <w:rPr>
        <w:rFonts w:ascii="Symbol" w:hAnsi="Symbol" w:hint="default"/>
      </w:rPr>
    </w:lvl>
    <w:lvl w:ilvl="4" w:tplc="0B7269F0" w:tentative="1">
      <w:start w:val="1"/>
      <w:numFmt w:val="bullet"/>
      <w:lvlText w:val="o"/>
      <w:lvlJc w:val="left"/>
      <w:pPr>
        <w:ind w:left="3600" w:hanging="360"/>
      </w:pPr>
      <w:rPr>
        <w:rFonts w:ascii="Courier New" w:hAnsi="Courier New" w:cs="Courier New" w:hint="default"/>
      </w:rPr>
    </w:lvl>
    <w:lvl w:ilvl="5" w:tplc="7FD44EDA" w:tentative="1">
      <w:start w:val="1"/>
      <w:numFmt w:val="bullet"/>
      <w:lvlText w:val=""/>
      <w:lvlJc w:val="left"/>
      <w:pPr>
        <w:ind w:left="4320" w:hanging="360"/>
      </w:pPr>
      <w:rPr>
        <w:rFonts w:ascii="Wingdings" w:hAnsi="Wingdings" w:hint="default"/>
      </w:rPr>
    </w:lvl>
    <w:lvl w:ilvl="6" w:tplc="4F724FE4" w:tentative="1">
      <w:start w:val="1"/>
      <w:numFmt w:val="bullet"/>
      <w:lvlText w:val=""/>
      <w:lvlJc w:val="left"/>
      <w:pPr>
        <w:ind w:left="5040" w:hanging="360"/>
      </w:pPr>
      <w:rPr>
        <w:rFonts w:ascii="Symbol" w:hAnsi="Symbol" w:hint="default"/>
      </w:rPr>
    </w:lvl>
    <w:lvl w:ilvl="7" w:tplc="68C022CA" w:tentative="1">
      <w:start w:val="1"/>
      <w:numFmt w:val="bullet"/>
      <w:lvlText w:val="o"/>
      <w:lvlJc w:val="left"/>
      <w:pPr>
        <w:ind w:left="5760" w:hanging="360"/>
      </w:pPr>
      <w:rPr>
        <w:rFonts w:ascii="Courier New" w:hAnsi="Courier New" w:cs="Courier New" w:hint="default"/>
      </w:rPr>
    </w:lvl>
    <w:lvl w:ilvl="8" w:tplc="F99C92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4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F4B"/>
    <w:rsid w:val="00064BF2"/>
    <w:rsid w:val="000667BA"/>
    <w:rsid w:val="000676A7"/>
    <w:rsid w:val="00073914"/>
    <w:rsid w:val="00074236"/>
    <w:rsid w:val="000746BD"/>
    <w:rsid w:val="00076D7D"/>
    <w:rsid w:val="00080D95"/>
    <w:rsid w:val="00090E6B"/>
    <w:rsid w:val="00091B2C"/>
    <w:rsid w:val="00092ABC"/>
    <w:rsid w:val="00097AAF"/>
    <w:rsid w:val="00097D13"/>
    <w:rsid w:val="000A2DAC"/>
    <w:rsid w:val="000A4893"/>
    <w:rsid w:val="000A54E0"/>
    <w:rsid w:val="000A72C4"/>
    <w:rsid w:val="000B1486"/>
    <w:rsid w:val="000B3E61"/>
    <w:rsid w:val="000B54AF"/>
    <w:rsid w:val="000B5A21"/>
    <w:rsid w:val="000B6090"/>
    <w:rsid w:val="000B6FEE"/>
    <w:rsid w:val="000C09E9"/>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6E4A"/>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13D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861"/>
    <w:rsid w:val="002570CB"/>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CDF"/>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CE0"/>
    <w:rsid w:val="004241AA"/>
    <w:rsid w:val="0042422E"/>
    <w:rsid w:val="004245D6"/>
    <w:rsid w:val="0043190E"/>
    <w:rsid w:val="004324E9"/>
    <w:rsid w:val="00434BDE"/>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335D"/>
    <w:rsid w:val="00470947"/>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C09"/>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2D5"/>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44CE"/>
    <w:rsid w:val="00705276"/>
    <w:rsid w:val="007066A0"/>
    <w:rsid w:val="007075FB"/>
    <w:rsid w:val="0070787B"/>
    <w:rsid w:val="0071131D"/>
    <w:rsid w:val="00711E3D"/>
    <w:rsid w:val="00711E85"/>
    <w:rsid w:val="00712DDA"/>
    <w:rsid w:val="00716A89"/>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556"/>
    <w:rsid w:val="007966D4"/>
    <w:rsid w:val="00796A0A"/>
    <w:rsid w:val="0079792C"/>
    <w:rsid w:val="007A0989"/>
    <w:rsid w:val="007A0CBE"/>
    <w:rsid w:val="007A122C"/>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696B"/>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B8D"/>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1F06"/>
    <w:rsid w:val="008E3338"/>
    <w:rsid w:val="008E47BE"/>
    <w:rsid w:val="008F09DF"/>
    <w:rsid w:val="008F1201"/>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30B"/>
    <w:rsid w:val="00992EB3"/>
    <w:rsid w:val="0099403D"/>
    <w:rsid w:val="00995B0B"/>
    <w:rsid w:val="009A1883"/>
    <w:rsid w:val="009A39F5"/>
    <w:rsid w:val="009A4588"/>
    <w:rsid w:val="009A5EA5"/>
    <w:rsid w:val="009B00C2"/>
    <w:rsid w:val="009B26AB"/>
    <w:rsid w:val="009B3476"/>
    <w:rsid w:val="009B39BC"/>
    <w:rsid w:val="009B5069"/>
    <w:rsid w:val="009B69AD"/>
    <w:rsid w:val="009B7631"/>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E5C"/>
    <w:rsid w:val="009F4EB0"/>
    <w:rsid w:val="009F4F2B"/>
    <w:rsid w:val="009F513E"/>
    <w:rsid w:val="009F5802"/>
    <w:rsid w:val="009F64AE"/>
    <w:rsid w:val="009F766C"/>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062"/>
    <w:rsid w:val="00A220FF"/>
    <w:rsid w:val="00A227E0"/>
    <w:rsid w:val="00A232E4"/>
    <w:rsid w:val="00A24AAD"/>
    <w:rsid w:val="00A26816"/>
    <w:rsid w:val="00A26A8A"/>
    <w:rsid w:val="00A27255"/>
    <w:rsid w:val="00A30E06"/>
    <w:rsid w:val="00A31484"/>
    <w:rsid w:val="00A32304"/>
    <w:rsid w:val="00A3420E"/>
    <w:rsid w:val="00A35D66"/>
    <w:rsid w:val="00A41085"/>
    <w:rsid w:val="00A425FA"/>
    <w:rsid w:val="00A43960"/>
    <w:rsid w:val="00A46902"/>
    <w:rsid w:val="00A50CDB"/>
    <w:rsid w:val="00A51F3E"/>
    <w:rsid w:val="00A5364B"/>
    <w:rsid w:val="00A54142"/>
    <w:rsid w:val="00A54C42"/>
    <w:rsid w:val="00A54F65"/>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3CAA"/>
    <w:rsid w:val="00A95D51"/>
    <w:rsid w:val="00AA18AE"/>
    <w:rsid w:val="00AA228B"/>
    <w:rsid w:val="00AA597A"/>
    <w:rsid w:val="00AA6BE0"/>
    <w:rsid w:val="00AA7E52"/>
    <w:rsid w:val="00AB1655"/>
    <w:rsid w:val="00AB1873"/>
    <w:rsid w:val="00AB2C05"/>
    <w:rsid w:val="00AB3536"/>
    <w:rsid w:val="00AB474B"/>
    <w:rsid w:val="00AB5CCC"/>
    <w:rsid w:val="00AB74E2"/>
    <w:rsid w:val="00AB7BAE"/>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FF3"/>
    <w:rsid w:val="00B04E79"/>
    <w:rsid w:val="00B07488"/>
    <w:rsid w:val="00B075A2"/>
    <w:rsid w:val="00B079BF"/>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624"/>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78C"/>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4D9"/>
    <w:rsid w:val="00C0499B"/>
    <w:rsid w:val="00C05406"/>
    <w:rsid w:val="00C05A9C"/>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0E52"/>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2F89"/>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264"/>
    <w:rsid w:val="00D11B0B"/>
    <w:rsid w:val="00D12A3E"/>
    <w:rsid w:val="00D21488"/>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DB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998"/>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E10"/>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1817"/>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6CE8"/>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1579"/>
    <w:rsid w:val="00F82811"/>
    <w:rsid w:val="00F84153"/>
    <w:rsid w:val="00F85661"/>
    <w:rsid w:val="00F96602"/>
    <w:rsid w:val="00F9735A"/>
    <w:rsid w:val="00FA32FC"/>
    <w:rsid w:val="00FA59FD"/>
    <w:rsid w:val="00FA5D8C"/>
    <w:rsid w:val="00FA6403"/>
    <w:rsid w:val="00FB16CD"/>
    <w:rsid w:val="00FB63AD"/>
    <w:rsid w:val="00FB73AE"/>
    <w:rsid w:val="00FC5388"/>
    <w:rsid w:val="00FC726C"/>
    <w:rsid w:val="00FD168A"/>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4A69F-1CF7-4A7F-925E-A3CA302A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09E9"/>
    <w:rPr>
      <w:sz w:val="16"/>
      <w:szCs w:val="16"/>
    </w:rPr>
  </w:style>
  <w:style w:type="paragraph" w:styleId="CommentText">
    <w:name w:val="annotation text"/>
    <w:basedOn w:val="Normal"/>
    <w:link w:val="CommentTextChar"/>
    <w:semiHidden/>
    <w:unhideWhenUsed/>
    <w:rsid w:val="000C09E9"/>
    <w:rPr>
      <w:sz w:val="20"/>
      <w:szCs w:val="20"/>
    </w:rPr>
  </w:style>
  <w:style w:type="character" w:customStyle="1" w:styleId="CommentTextChar">
    <w:name w:val="Comment Text Char"/>
    <w:basedOn w:val="DefaultParagraphFont"/>
    <w:link w:val="CommentText"/>
    <w:semiHidden/>
    <w:rsid w:val="000C09E9"/>
  </w:style>
  <w:style w:type="paragraph" w:styleId="CommentSubject">
    <w:name w:val="annotation subject"/>
    <w:basedOn w:val="CommentText"/>
    <w:next w:val="CommentText"/>
    <w:link w:val="CommentSubjectChar"/>
    <w:semiHidden/>
    <w:unhideWhenUsed/>
    <w:rsid w:val="000C09E9"/>
    <w:rPr>
      <w:b/>
      <w:bCs/>
    </w:rPr>
  </w:style>
  <w:style w:type="character" w:customStyle="1" w:styleId="CommentSubjectChar">
    <w:name w:val="Comment Subject Char"/>
    <w:basedOn w:val="CommentTextChar"/>
    <w:link w:val="CommentSubject"/>
    <w:semiHidden/>
    <w:rsid w:val="000C09E9"/>
    <w:rPr>
      <w:b/>
      <w:bCs/>
    </w:rPr>
  </w:style>
  <w:style w:type="paragraph" w:styleId="Revision">
    <w:name w:val="Revision"/>
    <w:hidden/>
    <w:uiPriority w:val="99"/>
    <w:semiHidden/>
    <w:rsid w:val="000C09E9"/>
    <w:rPr>
      <w:sz w:val="24"/>
      <w:szCs w:val="24"/>
    </w:rPr>
  </w:style>
  <w:style w:type="paragraph" w:styleId="ListParagraph">
    <w:name w:val="List Paragraph"/>
    <w:basedOn w:val="Normal"/>
    <w:uiPriority w:val="34"/>
    <w:qFormat/>
    <w:rsid w:val="0043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4085</Characters>
  <Application>Microsoft Office Word</Application>
  <DocSecurity>4</DocSecurity>
  <Lines>90</Lines>
  <Paragraphs>28</Paragraphs>
  <ScaleCrop>false</ScaleCrop>
  <HeadingPairs>
    <vt:vector size="2" baseType="variant">
      <vt:variant>
        <vt:lpstr>Title</vt:lpstr>
      </vt:variant>
      <vt:variant>
        <vt:i4>1</vt:i4>
      </vt:variant>
    </vt:vector>
  </HeadingPairs>
  <TitlesOfParts>
    <vt:vector size="1" baseType="lpstr">
      <vt:lpstr>BA - SB01397 (Committee Report (Substituted))</vt:lpstr>
    </vt:vector>
  </TitlesOfParts>
  <Company>State of Texas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28560</dc:subject>
  <dc:creator>State of Texas</dc:creator>
  <dc:description>SB 1397 by Hinojosa-(H)Public Health (Substitute Document Number: 87R 27126)</dc:description>
  <cp:lastModifiedBy>Damian Duarte</cp:lastModifiedBy>
  <cp:revision>2</cp:revision>
  <cp:lastPrinted>2003-11-26T17:21:00Z</cp:lastPrinted>
  <dcterms:created xsi:type="dcterms:W3CDTF">2021-05-23T18:01:00Z</dcterms:created>
  <dcterms:modified xsi:type="dcterms:W3CDTF">2021-05-23T18:01:00Z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21.141.725</vt:lpwstr>
  </property>
</Properties>
</file>