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01FE3" w14:paraId="6F7B6A65" w14:textId="77777777" w:rsidTr="00345119">
        <w:tc>
          <w:tcPr>
            <w:tcW w:w="9576" w:type="dxa"/>
            <w:noWrap/>
          </w:tcPr>
          <w:p w14:paraId="449A5353" w14:textId="77777777" w:rsidR="008423E4" w:rsidRPr="0022177D" w:rsidRDefault="00820ECE" w:rsidP="006E530A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6CAD9D53" w14:textId="77777777" w:rsidR="008423E4" w:rsidRPr="0022177D" w:rsidRDefault="008423E4" w:rsidP="006E530A">
      <w:pPr>
        <w:jc w:val="center"/>
      </w:pPr>
    </w:p>
    <w:p w14:paraId="5B796413" w14:textId="77777777" w:rsidR="008423E4" w:rsidRPr="00B31F0E" w:rsidRDefault="008423E4" w:rsidP="006E530A"/>
    <w:p w14:paraId="5B010E88" w14:textId="77777777" w:rsidR="008423E4" w:rsidRPr="00742794" w:rsidRDefault="008423E4" w:rsidP="006E530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01FE3" w14:paraId="15FA22AF" w14:textId="77777777" w:rsidTr="00345119">
        <w:tc>
          <w:tcPr>
            <w:tcW w:w="9576" w:type="dxa"/>
          </w:tcPr>
          <w:p w14:paraId="52976B3F" w14:textId="77777777" w:rsidR="008423E4" w:rsidRPr="00861995" w:rsidRDefault="00820ECE" w:rsidP="006E530A">
            <w:pPr>
              <w:jc w:val="right"/>
            </w:pPr>
            <w:r>
              <w:t>C.S.S.B. 1413</w:t>
            </w:r>
          </w:p>
        </w:tc>
      </w:tr>
      <w:tr w:rsidR="00F01FE3" w14:paraId="0DF8C032" w14:textId="77777777" w:rsidTr="00345119">
        <w:tc>
          <w:tcPr>
            <w:tcW w:w="9576" w:type="dxa"/>
          </w:tcPr>
          <w:p w14:paraId="38116266" w14:textId="77777777" w:rsidR="008423E4" w:rsidRPr="00861995" w:rsidRDefault="00820ECE" w:rsidP="006E530A">
            <w:pPr>
              <w:jc w:val="right"/>
            </w:pPr>
            <w:r>
              <w:t xml:space="preserve">By: </w:t>
            </w:r>
            <w:r w:rsidR="007177E1">
              <w:t>Paxton</w:t>
            </w:r>
          </w:p>
        </w:tc>
      </w:tr>
      <w:tr w:rsidR="00F01FE3" w14:paraId="4D8B20DD" w14:textId="77777777" w:rsidTr="00345119">
        <w:tc>
          <w:tcPr>
            <w:tcW w:w="9576" w:type="dxa"/>
          </w:tcPr>
          <w:p w14:paraId="1AF1E92D" w14:textId="77777777" w:rsidR="008423E4" w:rsidRPr="00861995" w:rsidRDefault="00820ECE" w:rsidP="006E530A">
            <w:pPr>
              <w:jc w:val="right"/>
            </w:pPr>
            <w:r>
              <w:t>Ways &amp; Means</w:t>
            </w:r>
          </w:p>
        </w:tc>
      </w:tr>
      <w:tr w:rsidR="00F01FE3" w14:paraId="472BACE4" w14:textId="77777777" w:rsidTr="00345119">
        <w:tc>
          <w:tcPr>
            <w:tcW w:w="9576" w:type="dxa"/>
          </w:tcPr>
          <w:p w14:paraId="6D789CFE" w14:textId="77777777" w:rsidR="008423E4" w:rsidRDefault="00820ECE" w:rsidP="006E530A">
            <w:pPr>
              <w:jc w:val="right"/>
            </w:pPr>
            <w:r>
              <w:t>Committee Report (Substituted)</w:t>
            </w:r>
          </w:p>
        </w:tc>
      </w:tr>
    </w:tbl>
    <w:p w14:paraId="719480F7" w14:textId="77777777" w:rsidR="008423E4" w:rsidRDefault="008423E4" w:rsidP="006E530A">
      <w:pPr>
        <w:tabs>
          <w:tab w:val="right" w:pos="9360"/>
        </w:tabs>
      </w:pPr>
    </w:p>
    <w:p w14:paraId="69247146" w14:textId="77777777" w:rsidR="008423E4" w:rsidRDefault="008423E4" w:rsidP="006E530A"/>
    <w:p w14:paraId="361A79D9" w14:textId="77777777" w:rsidR="008423E4" w:rsidRDefault="008423E4" w:rsidP="006E530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01FE3" w14:paraId="745EB9F0" w14:textId="77777777" w:rsidTr="006E530A">
        <w:tc>
          <w:tcPr>
            <w:tcW w:w="9360" w:type="dxa"/>
          </w:tcPr>
          <w:p w14:paraId="30C1577E" w14:textId="77777777" w:rsidR="008423E4" w:rsidRPr="00A8133F" w:rsidRDefault="00820ECE" w:rsidP="006E530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465891" w14:textId="77777777" w:rsidR="008423E4" w:rsidRDefault="008423E4" w:rsidP="006E530A"/>
          <w:p w14:paraId="19C05359" w14:textId="12A71067" w:rsidR="008423E4" w:rsidRDefault="00820ECE" w:rsidP="006E530A">
            <w:pPr>
              <w:pStyle w:val="Header"/>
              <w:jc w:val="both"/>
            </w:pPr>
            <w:r>
              <w:t xml:space="preserve">In Texas, </w:t>
            </w:r>
            <w:r w:rsidR="007177E1">
              <w:t xml:space="preserve">certain property tax payments and communications pertaining to those taxes </w:t>
            </w:r>
            <w:r>
              <w:t xml:space="preserve">are required </w:t>
            </w:r>
            <w:r w:rsidR="007177E1">
              <w:t xml:space="preserve">to be delivered by mail. </w:t>
            </w:r>
            <w:r>
              <w:t xml:space="preserve">It has been </w:t>
            </w:r>
            <w:r>
              <w:t>suggested that the i</w:t>
            </w:r>
            <w:r w:rsidR="007177E1">
              <w:t xml:space="preserve">ncreasing use of technology by taxpayers, coupled with significant recent events such as the COVID-19 pandemic, has demonstrated a pressing need for the state to update its antiquated property tax filing procedures and provide electronic delivery options for taxpayers. </w:t>
            </w:r>
            <w:r>
              <w:t>C.S.</w:t>
            </w:r>
            <w:r w:rsidR="007177E1">
              <w:t>S.B. 1413</w:t>
            </w:r>
            <w:r>
              <w:t xml:space="preserve"> seeks to address this issue by</w:t>
            </w:r>
            <w:r w:rsidR="007177E1">
              <w:t xml:space="preserve"> requir</w:t>
            </w:r>
            <w:r>
              <w:t>ing</w:t>
            </w:r>
            <w:r w:rsidR="007177E1">
              <w:t xml:space="preserve"> tax officials to </w:t>
            </w:r>
            <w:r w:rsidR="008E4C85">
              <w:t xml:space="preserve">electronically </w:t>
            </w:r>
            <w:r w:rsidR="007177E1">
              <w:t xml:space="preserve">deliver certain property tax-related communications or payments </w:t>
            </w:r>
            <w:r w:rsidR="008E4C85">
              <w:t>at the request of a property owner</w:t>
            </w:r>
            <w:r w:rsidR="007177E1">
              <w:t>.</w:t>
            </w:r>
          </w:p>
          <w:p w14:paraId="024A384E" w14:textId="77777777" w:rsidR="008423E4" w:rsidRPr="00E26B13" w:rsidRDefault="008423E4" w:rsidP="006E530A">
            <w:pPr>
              <w:rPr>
                <w:b/>
              </w:rPr>
            </w:pPr>
          </w:p>
        </w:tc>
      </w:tr>
      <w:tr w:rsidR="00F01FE3" w14:paraId="732AA40B" w14:textId="77777777" w:rsidTr="006E530A">
        <w:tc>
          <w:tcPr>
            <w:tcW w:w="9360" w:type="dxa"/>
          </w:tcPr>
          <w:p w14:paraId="71100F78" w14:textId="77777777" w:rsidR="0017725B" w:rsidRDefault="00820ECE" w:rsidP="006E53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2E52ED" w14:textId="77777777" w:rsidR="0017725B" w:rsidRDefault="0017725B" w:rsidP="006E530A">
            <w:pPr>
              <w:rPr>
                <w:b/>
                <w:u w:val="single"/>
              </w:rPr>
            </w:pPr>
          </w:p>
          <w:p w14:paraId="5C3009F7" w14:textId="77777777" w:rsidR="007177E1" w:rsidRPr="007177E1" w:rsidRDefault="00820ECE" w:rsidP="006E530A">
            <w:pPr>
              <w:jc w:val="both"/>
            </w:pPr>
            <w:r>
              <w:t>It is th</w:t>
            </w:r>
            <w:r>
              <w:t>e committee's opinion that this bill does not expressly create a criminal offense, increase the punishment for an existing criminal offense or category of offenses, or change the eligibility of a person for community supervision, parole, or mandatory super</w:t>
            </w:r>
            <w:r>
              <w:t>vision.</w:t>
            </w:r>
          </w:p>
          <w:p w14:paraId="39FB2797" w14:textId="77777777" w:rsidR="0017725B" w:rsidRPr="0017725B" w:rsidRDefault="0017725B" w:rsidP="006E530A">
            <w:pPr>
              <w:rPr>
                <w:b/>
                <w:u w:val="single"/>
              </w:rPr>
            </w:pPr>
          </w:p>
        </w:tc>
      </w:tr>
      <w:tr w:rsidR="00F01FE3" w14:paraId="65B852DA" w14:textId="77777777" w:rsidTr="006E530A">
        <w:tc>
          <w:tcPr>
            <w:tcW w:w="9360" w:type="dxa"/>
          </w:tcPr>
          <w:p w14:paraId="45E4322E" w14:textId="77777777" w:rsidR="008423E4" w:rsidRPr="00A8133F" w:rsidRDefault="00820ECE" w:rsidP="006E530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E65F609" w14:textId="77777777" w:rsidR="008423E4" w:rsidRDefault="008423E4" w:rsidP="006E530A"/>
          <w:p w14:paraId="5AA55D77" w14:textId="2E2CF5E4" w:rsidR="00FD45D0" w:rsidRDefault="00820ECE" w:rsidP="006E53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comptroller of public accounts in SECTION </w:t>
            </w:r>
            <w:r w:rsidR="004B3410">
              <w:t>3</w:t>
            </w:r>
            <w:r>
              <w:t xml:space="preserve"> of this bill.</w:t>
            </w:r>
          </w:p>
          <w:p w14:paraId="7C3DB0E6" w14:textId="77777777" w:rsidR="008423E4" w:rsidRPr="00E21FDC" w:rsidRDefault="008423E4" w:rsidP="006E530A">
            <w:pPr>
              <w:rPr>
                <w:b/>
              </w:rPr>
            </w:pPr>
          </w:p>
        </w:tc>
      </w:tr>
      <w:tr w:rsidR="00F01FE3" w14:paraId="6379DF34" w14:textId="77777777" w:rsidTr="006E530A">
        <w:tc>
          <w:tcPr>
            <w:tcW w:w="9360" w:type="dxa"/>
          </w:tcPr>
          <w:p w14:paraId="6B4F533A" w14:textId="77777777" w:rsidR="008423E4" w:rsidRPr="00A8133F" w:rsidRDefault="00820ECE" w:rsidP="006E530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38D6B3" w14:textId="77777777" w:rsidR="008423E4" w:rsidRDefault="008423E4" w:rsidP="006E530A"/>
          <w:p w14:paraId="689169F7" w14:textId="3789070A" w:rsidR="009C36CD" w:rsidRDefault="00820ECE" w:rsidP="006E53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1413 amends the Tax Code to revise the manner in which communications or payments are delivered electronically under the Property Tax Code by requiring a communication or payment that is required or permitted under that code</w:t>
            </w:r>
            <w:r w:rsidR="00B9331B">
              <w:t xml:space="preserve"> to be delivered between a tax official</w:t>
            </w:r>
            <w:r w:rsidR="00DF21C9">
              <w:t>, as defined by the bill,</w:t>
            </w:r>
            <w:r w:rsidR="00B9331B">
              <w:t xml:space="preserve"> and a property owner or a </w:t>
            </w:r>
            <w:r w:rsidR="008E4C85">
              <w:t>property owner's designee</w:t>
            </w:r>
            <w:r w:rsidR="00B9331B">
              <w:t xml:space="preserve"> to be delivered electronically if the property owner or designee elects to exchange communications and payments with the tax official electronically. The bill requires a tax official to establish a procedure that allows a property owner or the designee to make that election and requires the procedure to specify the following:</w:t>
            </w:r>
          </w:p>
          <w:p w14:paraId="2D9B19E0" w14:textId="77777777" w:rsidR="00B9331B" w:rsidRDefault="00820ECE" w:rsidP="006E530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9331B">
              <w:t>the manner in which communications and payments will be exchanged between the official and</w:t>
            </w:r>
            <w:r w:rsidRPr="00B9331B">
              <w:t xml:space="preserve"> the property owner or person designated by the owner; and</w:t>
            </w:r>
          </w:p>
          <w:p w14:paraId="323C647E" w14:textId="77777777" w:rsidR="00B9331B" w:rsidRDefault="00820ECE" w:rsidP="006E530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B9331B">
              <w:t>the method that will be used to confirm the delivery of communications and payments.</w:t>
            </w:r>
          </w:p>
          <w:p w14:paraId="51E7FF81" w14:textId="77777777" w:rsidR="00B9331B" w:rsidRDefault="00820ECE" w:rsidP="006E53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establishes that such an election remains in effect until rescinded in writing by the property owner or</w:t>
            </w:r>
            <w:r>
              <w:t xml:space="preserve"> designee.</w:t>
            </w:r>
          </w:p>
          <w:p w14:paraId="4C41C783" w14:textId="77777777" w:rsidR="00B9331B" w:rsidRDefault="00B9331B" w:rsidP="006E53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28FC9A7" w14:textId="45BEBE36" w:rsidR="00B9331B" w:rsidRDefault="00820ECE" w:rsidP="006E53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1413 authorizes a tax official to charge a reasonable convenience fee to accept a communication or payment delivered electronically to the official through a method other than email. The bill authorizes a tax official to require a prop</w:t>
            </w:r>
            <w:r>
              <w:t xml:space="preserve">erty owner or the designee who elects to exchange communications and payments electronically to provide an email address and a financial account number. The bill requires a tax official to </w:t>
            </w:r>
            <w:r w:rsidRPr="00B9331B">
              <w:t>prominently display the information necessary for proper electronic</w:t>
            </w:r>
            <w:r w:rsidRPr="00B9331B">
              <w:t xml:space="preserve"> delivery of communications </w:t>
            </w:r>
            <w:r w:rsidR="006D6B55">
              <w:t>and payments to the official on the official's website, if applicable, and</w:t>
            </w:r>
            <w:r w:rsidR="008E4C85">
              <w:t xml:space="preserve"> on</w:t>
            </w:r>
            <w:r w:rsidR="006D6B55">
              <w:t xml:space="preserve"> </w:t>
            </w:r>
            <w:r w:rsidR="006D6B55" w:rsidRPr="006D6B55">
              <w:t xml:space="preserve">each communication sent by the official to a property owner or </w:t>
            </w:r>
            <w:r w:rsidR="006D6B55">
              <w:t xml:space="preserve">designee </w:t>
            </w:r>
            <w:r w:rsidR="006D6B55" w:rsidRPr="006D6B55">
              <w:t xml:space="preserve">that requires the property owner or </w:t>
            </w:r>
            <w:r w:rsidR="006D6B55">
              <w:t>designee</w:t>
            </w:r>
            <w:r w:rsidR="006D6B55" w:rsidRPr="006D6B55">
              <w:t xml:space="preserve"> to submit a communication or payment to the official.</w:t>
            </w:r>
            <w:r w:rsidR="006D6B55">
              <w:t xml:space="preserve"> The bill provides for the conditions under which electronic delivery of a communication or payment is considered effective and timely.</w:t>
            </w:r>
          </w:p>
          <w:p w14:paraId="3137D613" w14:textId="77777777" w:rsidR="004C32E8" w:rsidRDefault="004C32E8" w:rsidP="006E53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61C588A" w14:textId="77777777" w:rsidR="004C32E8" w:rsidRDefault="00820ECE" w:rsidP="006E53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1413 requires the comptroller of public accounts by rule to prescribe acceptable media, fo</w:t>
            </w:r>
            <w:r>
              <w:t>rmats, content, and methods for the electronic delivery of communications and payments. The bill provides for the following:</w:t>
            </w:r>
          </w:p>
          <w:p w14:paraId="487D8478" w14:textId="77777777" w:rsidR="004C32E8" w:rsidRDefault="00820ECE" w:rsidP="006E530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selection of the medium, format, content, and method to be used to exchange communications and payments electronically;</w:t>
            </w:r>
          </w:p>
          <w:p w14:paraId="124FBD5F" w14:textId="4DA37AC8" w:rsidR="004C32E8" w:rsidRDefault="00820ECE" w:rsidP="006E530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not</w:t>
            </w:r>
            <w:r>
              <w:t xml:space="preserve">ification of a tax official regarding the change of an email address </w:t>
            </w:r>
            <w:r w:rsidR="008E4C85">
              <w:t>of</w:t>
            </w:r>
            <w:r>
              <w:t xml:space="preserve"> a property owner or designee; and</w:t>
            </w:r>
          </w:p>
          <w:p w14:paraId="1820ADD2" w14:textId="77777777" w:rsidR="004C32E8" w:rsidRDefault="00820ECE" w:rsidP="006E530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the authenticity of an electronic signature that is included in any communication or payment delivered electronically</w:t>
            </w:r>
            <w:r w:rsidR="00F91E3D">
              <w:t>.</w:t>
            </w:r>
          </w:p>
          <w:p w14:paraId="38B90FA1" w14:textId="77777777" w:rsidR="00F91E3D" w:rsidRDefault="00820ECE" w:rsidP="006E53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requires a tax officia</w:t>
            </w:r>
            <w:r>
              <w:t>l to accept and immediately confirm the receipt of a communication or payment delivered electronically under the bill's provisions.</w:t>
            </w:r>
          </w:p>
          <w:p w14:paraId="2E997220" w14:textId="77777777" w:rsidR="00F91E3D" w:rsidRDefault="00F91E3D" w:rsidP="006E53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FBBF8E9" w14:textId="77777777" w:rsidR="00F91E3D" w:rsidRDefault="00820ECE" w:rsidP="006E53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C.S.S.B. 1413 repeals the following provisions of the Tax Code:</w:t>
            </w:r>
          </w:p>
          <w:p w14:paraId="7948E0D4" w14:textId="77777777" w:rsidR="00F91E3D" w:rsidRDefault="00820ECE" w:rsidP="006E530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Sections 1.085(b), (c), (g), (h), (k), (l), and (m);</w:t>
            </w:r>
          </w:p>
          <w:p w14:paraId="7BE60B37" w14:textId="77777777" w:rsidR="00F91E3D" w:rsidRDefault="00820ECE" w:rsidP="006E530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1.086;</w:t>
            </w:r>
            <w:r w:rsidR="00DF21C9">
              <w:t xml:space="preserve"> and</w:t>
            </w:r>
          </w:p>
          <w:p w14:paraId="434933E4" w14:textId="77777777" w:rsidR="00F91E3D" w:rsidRPr="009C36CD" w:rsidRDefault="00820ECE" w:rsidP="006E530A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Section 41.46(e)</w:t>
            </w:r>
            <w:r w:rsidR="00DF21C9">
              <w:t>.</w:t>
            </w:r>
          </w:p>
          <w:p w14:paraId="6A5895DB" w14:textId="77777777" w:rsidR="008423E4" w:rsidRPr="00835628" w:rsidRDefault="008423E4" w:rsidP="006E530A">
            <w:pPr>
              <w:rPr>
                <w:b/>
              </w:rPr>
            </w:pPr>
          </w:p>
        </w:tc>
      </w:tr>
      <w:tr w:rsidR="00F01FE3" w14:paraId="36D390E6" w14:textId="77777777" w:rsidTr="006E530A">
        <w:tc>
          <w:tcPr>
            <w:tcW w:w="9360" w:type="dxa"/>
          </w:tcPr>
          <w:p w14:paraId="5574B644" w14:textId="77777777" w:rsidR="008423E4" w:rsidRPr="00A8133F" w:rsidRDefault="00820ECE" w:rsidP="006E530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9812983" w14:textId="77777777" w:rsidR="008423E4" w:rsidRDefault="008423E4" w:rsidP="006E530A"/>
          <w:p w14:paraId="6B228C7C" w14:textId="77777777" w:rsidR="008423E4" w:rsidRPr="003624F2" w:rsidRDefault="00820ECE" w:rsidP="006E53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2023.</w:t>
            </w:r>
          </w:p>
          <w:p w14:paraId="277461AA" w14:textId="77777777" w:rsidR="008423E4" w:rsidRPr="00233FDB" w:rsidRDefault="008423E4" w:rsidP="006E530A">
            <w:pPr>
              <w:rPr>
                <w:b/>
              </w:rPr>
            </w:pPr>
          </w:p>
        </w:tc>
      </w:tr>
      <w:tr w:rsidR="00F01FE3" w14:paraId="2E46A42B" w14:textId="77777777" w:rsidTr="006E530A">
        <w:tc>
          <w:tcPr>
            <w:tcW w:w="9360" w:type="dxa"/>
          </w:tcPr>
          <w:p w14:paraId="6D6A8EBC" w14:textId="77777777" w:rsidR="007177E1" w:rsidRDefault="00820ECE" w:rsidP="006E530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2CB082C1" w14:textId="77777777" w:rsidR="009708FD" w:rsidRDefault="009708FD" w:rsidP="006E530A">
            <w:pPr>
              <w:jc w:val="both"/>
            </w:pPr>
          </w:p>
          <w:p w14:paraId="638C35D2" w14:textId="77777777" w:rsidR="00F91E3D" w:rsidRDefault="00820ECE" w:rsidP="006E530A">
            <w:pPr>
              <w:jc w:val="both"/>
            </w:pPr>
            <w:r>
              <w:t xml:space="preserve">While C.S.S.B. </w:t>
            </w:r>
            <w:r w:rsidR="00DF21C9">
              <w:t>1413</w:t>
            </w:r>
            <w:r>
              <w:t xml:space="preserve"> may differ from the engrossed in minor or nonsubstantive ways, the following summarizes the substantial differences between the engrossed and committee substitute versions of the bill.</w:t>
            </w:r>
          </w:p>
          <w:p w14:paraId="60409BAE" w14:textId="77777777" w:rsidR="004A1F93" w:rsidRDefault="004A1F93" w:rsidP="006E530A">
            <w:pPr>
              <w:jc w:val="both"/>
            </w:pPr>
          </w:p>
          <w:p w14:paraId="0D86EF06" w14:textId="77777777" w:rsidR="004A1F93" w:rsidRDefault="00820ECE" w:rsidP="006E530A">
            <w:pPr>
              <w:jc w:val="both"/>
            </w:pPr>
            <w:r>
              <w:t>The substitute expands the definition of "tax official" in the engros</w:t>
            </w:r>
            <w:r>
              <w:t xml:space="preserve">sed to include a person designated by </w:t>
            </w:r>
            <w:r w:rsidRPr="004A1F93">
              <w:t>a chief appraiser, an appraisal district, an appraisal review board, an assessor, a collector, or a taxing unit</w:t>
            </w:r>
            <w:r>
              <w:t xml:space="preserve"> to perform a function on behalf of that official.</w:t>
            </w:r>
          </w:p>
          <w:p w14:paraId="08905D2F" w14:textId="77777777" w:rsidR="004A1F93" w:rsidRDefault="004A1F93" w:rsidP="006E530A">
            <w:pPr>
              <w:jc w:val="both"/>
            </w:pPr>
          </w:p>
          <w:p w14:paraId="7BE9A03C" w14:textId="4CE04B02" w:rsidR="004A1F93" w:rsidRDefault="00820ECE" w:rsidP="006E530A">
            <w:pPr>
              <w:jc w:val="both"/>
            </w:pPr>
            <w:r>
              <w:t>The substitute does not include a requirement</w:t>
            </w:r>
            <w:r>
              <w:t xml:space="preserve"> present in the engrossed for the procedure used to make the election </w:t>
            </w:r>
            <w:r w:rsidR="00814960">
              <w:t xml:space="preserve">to </w:t>
            </w:r>
            <w:r>
              <w:t>receive communications and payments electronically to specify the method that will be used to protect the security of communications and payments.</w:t>
            </w:r>
          </w:p>
          <w:p w14:paraId="340EAEBA" w14:textId="77777777" w:rsidR="004A1F93" w:rsidRDefault="004A1F93" w:rsidP="006E530A">
            <w:pPr>
              <w:jc w:val="both"/>
            </w:pPr>
          </w:p>
          <w:p w14:paraId="3C2304E9" w14:textId="77777777" w:rsidR="004A1F93" w:rsidRDefault="00820ECE" w:rsidP="006E530A">
            <w:pPr>
              <w:jc w:val="both"/>
            </w:pPr>
            <w:r>
              <w:t xml:space="preserve">The engrossed established that the </w:t>
            </w:r>
            <w:r>
              <w:t>electronic delivery of any communication or payment by a tax official to a property owner or a designee is effective on receipt by the property owner or designee, whereas the substitute establishes that the delivery is effective on delivery by the tax offi</w:t>
            </w:r>
            <w:r>
              <w:t>cial of the communication or payment.</w:t>
            </w:r>
          </w:p>
          <w:p w14:paraId="47AF32A9" w14:textId="77777777" w:rsidR="00EB6059" w:rsidRDefault="00EB6059" w:rsidP="006E530A">
            <w:pPr>
              <w:jc w:val="both"/>
            </w:pPr>
          </w:p>
          <w:p w14:paraId="6B3A55A1" w14:textId="4890FB9F" w:rsidR="00EB6059" w:rsidRDefault="00820ECE" w:rsidP="006E530A">
            <w:pPr>
              <w:jc w:val="both"/>
            </w:pPr>
            <w:r>
              <w:t xml:space="preserve">The engrossed revised provisions relating to </w:t>
            </w:r>
            <w:r w:rsidR="000A2812">
              <w:t xml:space="preserve">the required </w:t>
            </w:r>
            <w:r>
              <w:t xml:space="preserve">notice regarding the availability of certain forms authorizing electronic communications under the Property Tax Code and to the timely confirmation of receipt </w:t>
            </w:r>
            <w:r>
              <w:t>of certain notices delivered electronically under that code</w:t>
            </w:r>
            <w:r w:rsidRPr="00EB6059">
              <w:t>.</w:t>
            </w:r>
            <w:r>
              <w:t xml:space="preserve"> The substitute does not include the revision of those provisions but instead repeals them entirely.</w:t>
            </w:r>
          </w:p>
          <w:p w14:paraId="17EF9C7F" w14:textId="77777777" w:rsidR="009D0AFF" w:rsidRDefault="009D0AFF" w:rsidP="006E530A">
            <w:pPr>
              <w:jc w:val="both"/>
            </w:pPr>
          </w:p>
          <w:p w14:paraId="65D0EA42" w14:textId="77777777" w:rsidR="009D0AFF" w:rsidRDefault="00820ECE" w:rsidP="006E530A">
            <w:pPr>
              <w:jc w:val="both"/>
            </w:pPr>
            <w:r>
              <w:t xml:space="preserve">The substitute does not include an exemption </w:t>
            </w:r>
            <w:r w:rsidR="00814960">
              <w:t xml:space="preserve">present in the engrossed </w:t>
            </w:r>
            <w:r>
              <w:t xml:space="preserve">for a tax official from </w:t>
            </w:r>
            <w:r>
              <w:t>compliance</w:t>
            </w:r>
            <w:r w:rsidR="00814960">
              <w:t xml:space="preserve"> with</w:t>
            </w:r>
            <w:r>
              <w:t xml:space="preserve"> the bill's provisions under certain conditions.</w:t>
            </w:r>
          </w:p>
          <w:p w14:paraId="5F4F0B53" w14:textId="77777777" w:rsidR="004B3410" w:rsidRDefault="004B3410" w:rsidP="006E530A">
            <w:pPr>
              <w:jc w:val="both"/>
            </w:pPr>
          </w:p>
          <w:p w14:paraId="6BE33B5C" w14:textId="77777777" w:rsidR="004B3410" w:rsidRDefault="00820ECE" w:rsidP="006E530A">
            <w:pPr>
              <w:jc w:val="both"/>
            </w:pPr>
            <w:r>
              <w:t xml:space="preserve">Whereas the engrossed applied beginning with the 2022 tax year, the substitute </w:t>
            </w:r>
            <w:r w:rsidR="009708FD">
              <w:t xml:space="preserve">applies only to a tax year that begins on or after the bill's effective date. </w:t>
            </w:r>
          </w:p>
          <w:p w14:paraId="46B19D12" w14:textId="77777777" w:rsidR="009708FD" w:rsidRDefault="009708FD" w:rsidP="006E530A">
            <w:pPr>
              <w:jc w:val="both"/>
            </w:pPr>
          </w:p>
          <w:p w14:paraId="546127F4" w14:textId="35FBF53E" w:rsidR="009708FD" w:rsidRPr="00F91E3D" w:rsidRDefault="00820ECE" w:rsidP="006E530A">
            <w:pPr>
              <w:jc w:val="both"/>
            </w:pPr>
            <w:r>
              <w:t>The substitute changes the bill'</w:t>
            </w:r>
            <w:r>
              <w:t>s effective date from September 1, 2021, to January 1, 2023.</w:t>
            </w:r>
          </w:p>
        </w:tc>
      </w:tr>
    </w:tbl>
    <w:p w14:paraId="72F5AF87" w14:textId="036D1390" w:rsidR="004108C3" w:rsidRPr="008423E4" w:rsidRDefault="004108C3" w:rsidP="006E530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76A0" w14:textId="77777777" w:rsidR="00000000" w:rsidRDefault="00820ECE">
      <w:r>
        <w:separator/>
      </w:r>
    </w:p>
  </w:endnote>
  <w:endnote w:type="continuationSeparator" w:id="0">
    <w:p w14:paraId="0CA46733" w14:textId="77777777" w:rsidR="00000000" w:rsidRDefault="0082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D261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01FE3" w14:paraId="1D1EB30A" w14:textId="77777777" w:rsidTr="009C1E9A">
      <w:trPr>
        <w:cantSplit/>
      </w:trPr>
      <w:tc>
        <w:tcPr>
          <w:tcW w:w="0" w:type="pct"/>
        </w:tcPr>
        <w:p w14:paraId="00DC98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D5BB2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778D3A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15BA96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47DE7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01FE3" w14:paraId="6D644E5E" w14:textId="77777777" w:rsidTr="009C1E9A">
      <w:trPr>
        <w:cantSplit/>
      </w:trPr>
      <w:tc>
        <w:tcPr>
          <w:tcW w:w="0" w:type="pct"/>
        </w:tcPr>
        <w:p w14:paraId="3DC740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F30B80" w14:textId="77777777" w:rsidR="00EC379B" w:rsidRPr="009C1E9A" w:rsidRDefault="00820EC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27584</w:t>
          </w:r>
        </w:p>
      </w:tc>
      <w:tc>
        <w:tcPr>
          <w:tcW w:w="2453" w:type="pct"/>
        </w:tcPr>
        <w:p w14:paraId="4A0CF01C" w14:textId="673B4684" w:rsidR="00EC379B" w:rsidRDefault="00820EC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45B1F">
            <w:t>21.138.566</w:t>
          </w:r>
          <w:r>
            <w:fldChar w:fldCharType="end"/>
          </w:r>
        </w:p>
      </w:tc>
    </w:tr>
    <w:tr w:rsidR="00F01FE3" w14:paraId="196E1011" w14:textId="77777777" w:rsidTr="009C1E9A">
      <w:trPr>
        <w:cantSplit/>
      </w:trPr>
      <w:tc>
        <w:tcPr>
          <w:tcW w:w="0" w:type="pct"/>
        </w:tcPr>
        <w:p w14:paraId="3C1F511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8763985" w14:textId="77777777" w:rsidR="00EC379B" w:rsidRPr="009C1E9A" w:rsidRDefault="00820EC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27091</w:t>
          </w:r>
        </w:p>
      </w:tc>
      <w:tc>
        <w:tcPr>
          <w:tcW w:w="2453" w:type="pct"/>
        </w:tcPr>
        <w:p w14:paraId="0A89613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63097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01FE3" w14:paraId="52BEB6E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E6B11C0" w14:textId="5B6456D5" w:rsidR="00EC379B" w:rsidRDefault="00820EC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E530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C94C7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97CC78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A52F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D4541" w14:textId="77777777" w:rsidR="00000000" w:rsidRDefault="00820ECE">
      <w:r>
        <w:separator/>
      </w:r>
    </w:p>
  </w:footnote>
  <w:footnote w:type="continuationSeparator" w:id="0">
    <w:p w14:paraId="5C28134D" w14:textId="77777777" w:rsidR="00000000" w:rsidRDefault="0082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57439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29B12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6810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872"/>
    <w:multiLevelType w:val="hybridMultilevel"/>
    <w:tmpl w:val="665A0648"/>
    <w:lvl w:ilvl="0" w:tplc="CF8A7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D60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0A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C6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8A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83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A7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D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04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5267"/>
    <w:multiLevelType w:val="hybridMultilevel"/>
    <w:tmpl w:val="26FAB424"/>
    <w:lvl w:ilvl="0" w:tplc="0A26A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B64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E8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80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A1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22B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61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C5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6F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C7BEE"/>
    <w:multiLevelType w:val="hybridMultilevel"/>
    <w:tmpl w:val="618458DC"/>
    <w:lvl w:ilvl="0" w:tplc="36026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21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A6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8B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26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43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0C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4C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54A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E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812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318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2B1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5B1F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1F93"/>
    <w:rsid w:val="004A2172"/>
    <w:rsid w:val="004B138F"/>
    <w:rsid w:val="004B3410"/>
    <w:rsid w:val="004B412A"/>
    <w:rsid w:val="004B576C"/>
    <w:rsid w:val="004B772A"/>
    <w:rsid w:val="004C302F"/>
    <w:rsid w:val="004C32E8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29CD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5F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3F5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B55"/>
    <w:rsid w:val="006E0CAC"/>
    <w:rsid w:val="006E1CFB"/>
    <w:rsid w:val="006E1F94"/>
    <w:rsid w:val="006E26C1"/>
    <w:rsid w:val="006E30A8"/>
    <w:rsid w:val="006E45B0"/>
    <w:rsid w:val="006E530A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7E1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2D3B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1983"/>
    <w:rsid w:val="00812BE3"/>
    <w:rsid w:val="00814516"/>
    <w:rsid w:val="00814960"/>
    <w:rsid w:val="00815C9D"/>
    <w:rsid w:val="008170E2"/>
    <w:rsid w:val="00820ECE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6DC8"/>
    <w:rsid w:val="008D27A5"/>
    <w:rsid w:val="008D2AAB"/>
    <w:rsid w:val="008D309C"/>
    <w:rsid w:val="008D58F9"/>
    <w:rsid w:val="008E3338"/>
    <w:rsid w:val="008E47BE"/>
    <w:rsid w:val="008E4C85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8FD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AFF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1B4"/>
    <w:rsid w:val="00B90097"/>
    <w:rsid w:val="00B90999"/>
    <w:rsid w:val="00B91AD7"/>
    <w:rsid w:val="00B92D23"/>
    <w:rsid w:val="00B9331B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D5E84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6A0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A4B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0FAD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4DEC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1C9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059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1FE3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1E3D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5D0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54868F-C926-4E32-B244-B0955818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D6B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6B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6B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6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6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5056</Characters>
  <Application>Microsoft Office Word</Application>
  <DocSecurity>4</DocSecurity>
  <Lines>111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SB01413 (Committee Report (Substituted))</vt:lpstr>
    </vt:vector>
  </TitlesOfParts>
  <Company>State of Texas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27584</dc:subject>
  <dc:creator>State of Texas</dc:creator>
  <dc:description>SB 1413 by Paxton-(H)Ways &amp; Means (Substitute Document Number: 87R 27091)</dc:description>
  <cp:lastModifiedBy>Damian Duarte</cp:lastModifiedBy>
  <cp:revision>2</cp:revision>
  <cp:lastPrinted>2003-11-26T17:21:00Z</cp:lastPrinted>
  <dcterms:created xsi:type="dcterms:W3CDTF">2021-05-21T18:02:00Z</dcterms:created>
  <dcterms:modified xsi:type="dcterms:W3CDTF">2021-05-21T18:02:00Z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21.138.566</vt:lpwstr>
  </property>
</Properties>
</file>