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6E1E52" w14:paraId="1CDA6216" w14:textId="77777777" w:rsidTr="00345119">
        <w:tc>
          <w:tcPr>
            <w:tcW w:w="9576" w:type="dxa"/>
            <w:noWrap/>
          </w:tcPr>
          <w:p w14:paraId="0B10C175" w14:textId="77777777" w:rsidR="008423E4" w:rsidRPr="0022177D" w:rsidRDefault="00D3400B" w:rsidP="002B5370">
            <w:pPr>
              <w:pStyle w:val="Heading1"/>
            </w:pPr>
            <w:bookmarkStart w:id="0" w:name="_GoBack"/>
            <w:bookmarkEnd w:id="0"/>
            <w:r w:rsidRPr="00631897">
              <w:t>BILL ANALYSIS</w:t>
            </w:r>
          </w:p>
        </w:tc>
      </w:tr>
    </w:tbl>
    <w:p w14:paraId="00F1A726" w14:textId="77777777" w:rsidR="008423E4" w:rsidRPr="0022177D" w:rsidRDefault="008423E4" w:rsidP="002B5370">
      <w:pPr>
        <w:jc w:val="center"/>
      </w:pPr>
    </w:p>
    <w:p w14:paraId="51A5FAAA" w14:textId="77777777" w:rsidR="008423E4" w:rsidRPr="00B31F0E" w:rsidRDefault="008423E4" w:rsidP="002B5370"/>
    <w:p w14:paraId="678E2123" w14:textId="77777777" w:rsidR="008423E4" w:rsidRPr="00742794" w:rsidRDefault="008423E4" w:rsidP="002B5370">
      <w:pPr>
        <w:tabs>
          <w:tab w:val="right" w:pos="9360"/>
        </w:tabs>
      </w:pPr>
    </w:p>
    <w:tbl>
      <w:tblPr>
        <w:tblW w:w="0" w:type="auto"/>
        <w:tblLayout w:type="fixed"/>
        <w:tblLook w:val="01E0" w:firstRow="1" w:lastRow="1" w:firstColumn="1" w:lastColumn="1" w:noHBand="0" w:noVBand="0"/>
      </w:tblPr>
      <w:tblGrid>
        <w:gridCol w:w="9576"/>
      </w:tblGrid>
      <w:tr w:rsidR="006E1E52" w14:paraId="00B4A6A9" w14:textId="77777777" w:rsidTr="00345119">
        <w:tc>
          <w:tcPr>
            <w:tcW w:w="9576" w:type="dxa"/>
          </w:tcPr>
          <w:p w14:paraId="529A3373" w14:textId="4D6FCE44" w:rsidR="008423E4" w:rsidRPr="00861995" w:rsidRDefault="00D3400B" w:rsidP="002B5370">
            <w:pPr>
              <w:jc w:val="right"/>
            </w:pPr>
            <w:r>
              <w:t>S.B. 1421</w:t>
            </w:r>
          </w:p>
        </w:tc>
      </w:tr>
      <w:tr w:rsidR="006E1E52" w14:paraId="64019847" w14:textId="77777777" w:rsidTr="00345119">
        <w:tc>
          <w:tcPr>
            <w:tcW w:w="9576" w:type="dxa"/>
          </w:tcPr>
          <w:p w14:paraId="2D6A59BE" w14:textId="00F50828" w:rsidR="008423E4" w:rsidRPr="00861995" w:rsidRDefault="00D3400B" w:rsidP="002B5370">
            <w:pPr>
              <w:jc w:val="right"/>
            </w:pPr>
            <w:r>
              <w:t xml:space="preserve">By: </w:t>
            </w:r>
            <w:r w:rsidR="00323999">
              <w:t>Bettencourt</w:t>
            </w:r>
          </w:p>
        </w:tc>
      </w:tr>
      <w:tr w:rsidR="006E1E52" w14:paraId="0B75B540" w14:textId="77777777" w:rsidTr="00345119">
        <w:tc>
          <w:tcPr>
            <w:tcW w:w="9576" w:type="dxa"/>
          </w:tcPr>
          <w:p w14:paraId="2C3BC15C" w14:textId="49992C15" w:rsidR="008423E4" w:rsidRPr="00861995" w:rsidRDefault="00D3400B" w:rsidP="002B5370">
            <w:pPr>
              <w:jc w:val="right"/>
            </w:pPr>
            <w:r>
              <w:t>Ways &amp; Means</w:t>
            </w:r>
          </w:p>
        </w:tc>
      </w:tr>
      <w:tr w:rsidR="006E1E52" w14:paraId="32C82A8E" w14:textId="77777777" w:rsidTr="00345119">
        <w:tc>
          <w:tcPr>
            <w:tcW w:w="9576" w:type="dxa"/>
          </w:tcPr>
          <w:p w14:paraId="3DB70F06" w14:textId="48ACD081" w:rsidR="008423E4" w:rsidRDefault="00D3400B" w:rsidP="002B5370">
            <w:pPr>
              <w:jc w:val="right"/>
            </w:pPr>
            <w:r>
              <w:t>Committee Report (Unamended)</w:t>
            </w:r>
          </w:p>
        </w:tc>
      </w:tr>
    </w:tbl>
    <w:p w14:paraId="4415471A" w14:textId="77777777" w:rsidR="008423E4" w:rsidRPr="002B5370" w:rsidRDefault="008423E4" w:rsidP="002B5370">
      <w:pPr>
        <w:tabs>
          <w:tab w:val="right" w:pos="9360"/>
        </w:tabs>
        <w:rPr>
          <w:sz w:val="20"/>
        </w:rPr>
      </w:pPr>
    </w:p>
    <w:p w14:paraId="7F558F27" w14:textId="77777777" w:rsidR="008423E4" w:rsidRPr="002B5370" w:rsidRDefault="008423E4" w:rsidP="002B5370">
      <w:pPr>
        <w:rPr>
          <w:sz w:val="20"/>
        </w:rPr>
      </w:pPr>
    </w:p>
    <w:p w14:paraId="1061BBCA" w14:textId="77777777" w:rsidR="008423E4" w:rsidRPr="002B5370" w:rsidRDefault="008423E4" w:rsidP="002B5370">
      <w:pPr>
        <w:rPr>
          <w:sz w:val="20"/>
        </w:rPr>
      </w:pPr>
    </w:p>
    <w:tbl>
      <w:tblPr>
        <w:tblW w:w="0" w:type="auto"/>
        <w:tblCellMar>
          <w:left w:w="115" w:type="dxa"/>
          <w:right w:w="115" w:type="dxa"/>
        </w:tblCellMar>
        <w:tblLook w:val="01E0" w:firstRow="1" w:lastRow="1" w:firstColumn="1" w:lastColumn="1" w:noHBand="0" w:noVBand="0"/>
      </w:tblPr>
      <w:tblGrid>
        <w:gridCol w:w="9360"/>
      </w:tblGrid>
      <w:tr w:rsidR="006E1E52" w14:paraId="665B7AC8" w14:textId="77777777" w:rsidTr="00345119">
        <w:tc>
          <w:tcPr>
            <w:tcW w:w="9576" w:type="dxa"/>
          </w:tcPr>
          <w:p w14:paraId="106DE829" w14:textId="77777777" w:rsidR="008423E4" w:rsidRPr="00A8133F" w:rsidRDefault="00D3400B" w:rsidP="002B5370">
            <w:pPr>
              <w:rPr>
                <w:b/>
              </w:rPr>
            </w:pPr>
            <w:r w:rsidRPr="009C1E9A">
              <w:rPr>
                <w:b/>
                <w:u w:val="single"/>
              </w:rPr>
              <w:t>BACKGROUND AND PURPOSE</w:t>
            </w:r>
            <w:r>
              <w:rPr>
                <w:b/>
              </w:rPr>
              <w:t xml:space="preserve"> </w:t>
            </w:r>
          </w:p>
          <w:p w14:paraId="63703413" w14:textId="77777777" w:rsidR="008423E4" w:rsidRDefault="008423E4" w:rsidP="002B5370"/>
          <w:p w14:paraId="628AAC2B" w14:textId="282D9B9E" w:rsidR="008423E4" w:rsidRDefault="00D3400B" w:rsidP="002B5370">
            <w:pPr>
              <w:pStyle w:val="Header"/>
              <w:tabs>
                <w:tab w:val="clear" w:pos="4320"/>
                <w:tab w:val="clear" w:pos="8640"/>
              </w:tabs>
              <w:jc w:val="both"/>
            </w:pPr>
            <w:r>
              <w:t>Business personal prop</w:t>
            </w:r>
            <w:r w:rsidR="00C50B96">
              <w:t>erty can be difficult to locate</w:t>
            </w:r>
            <w:r w:rsidR="0037754C">
              <w:t xml:space="preserve"> and </w:t>
            </w:r>
            <w:r>
              <w:t>complicated to value. Taxpayers are currently required to report their business personal property to appraisal districts by April 15, unless they obtain an extension to May 15. Since rendition statements are due during the busiest time of year for tax prep</w:t>
            </w:r>
            <w:r>
              <w:t xml:space="preserve">arers, mistakes are common. </w:t>
            </w:r>
            <w:r w:rsidR="00371C2D">
              <w:t>It has been suggested that t</w:t>
            </w:r>
            <w:r>
              <w:t xml:space="preserve">axpayers should be allowed to correct errors on their rendition statements, just as they are allowed to correct errors on their tax returns. S.B. 1421 </w:t>
            </w:r>
            <w:r w:rsidR="00371C2D">
              <w:t>seeks to</w:t>
            </w:r>
            <w:r>
              <w:t xml:space="preserve"> allow an appraisal review board to chang</w:t>
            </w:r>
            <w:r>
              <w:t xml:space="preserve">e the appraisal roll or related appraisal records for the current tax year and for either of the two preceding tax years to correct an inaccuracy in the appraised value of </w:t>
            </w:r>
            <w:r w:rsidR="0037754C">
              <w:t xml:space="preserve">a property </w:t>
            </w:r>
            <w:r>
              <w:t>owner's tangible personal property that is the result of an error or omis</w:t>
            </w:r>
            <w:r>
              <w:t>sion in a rendition statement or property report.</w:t>
            </w:r>
          </w:p>
          <w:p w14:paraId="7CFBE3B4" w14:textId="77777777" w:rsidR="008423E4" w:rsidRPr="00E26B13" w:rsidRDefault="008423E4" w:rsidP="002B5370">
            <w:pPr>
              <w:rPr>
                <w:b/>
              </w:rPr>
            </w:pPr>
          </w:p>
        </w:tc>
      </w:tr>
      <w:tr w:rsidR="006E1E52" w14:paraId="62F7345E" w14:textId="77777777" w:rsidTr="00345119">
        <w:tc>
          <w:tcPr>
            <w:tcW w:w="9576" w:type="dxa"/>
          </w:tcPr>
          <w:p w14:paraId="5E823760" w14:textId="77777777" w:rsidR="0017725B" w:rsidRDefault="00D3400B" w:rsidP="002B5370">
            <w:pPr>
              <w:rPr>
                <w:b/>
                <w:u w:val="single"/>
              </w:rPr>
            </w:pPr>
            <w:r>
              <w:rPr>
                <w:b/>
                <w:u w:val="single"/>
              </w:rPr>
              <w:t>CRIMINAL JUSTICE IMPACT</w:t>
            </w:r>
          </w:p>
          <w:p w14:paraId="44934D38" w14:textId="77777777" w:rsidR="0017725B" w:rsidRDefault="0017725B" w:rsidP="002B5370">
            <w:pPr>
              <w:rPr>
                <w:b/>
                <w:u w:val="single"/>
              </w:rPr>
            </w:pPr>
          </w:p>
          <w:p w14:paraId="62063409" w14:textId="77777777" w:rsidR="00446A88" w:rsidRPr="00446A88" w:rsidRDefault="00D3400B" w:rsidP="002B5370">
            <w:pPr>
              <w:jc w:val="both"/>
            </w:pPr>
            <w:r>
              <w:t>It is the committee's opinion that this bill does not expressly create a criminal offense, increase the punishment for an existing criminal offense or category of offenses, or cha</w:t>
            </w:r>
            <w:r>
              <w:t>nge the eligibility of a person for community supervision, parole, or mandatory supervision.</w:t>
            </w:r>
          </w:p>
          <w:p w14:paraId="23071D2E" w14:textId="77777777" w:rsidR="0017725B" w:rsidRPr="0017725B" w:rsidRDefault="0017725B" w:rsidP="002B5370">
            <w:pPr>
              <w:rPr>
                <w:b/>
                <w:u w:val="single"/>
              </w:rPr>
            </w:pPr>
          </w:p>
        </w:tc>
      </w:tr>
      <w:tr w:rsidR="006E1E52" w14:paraId="1D67D67E" w14:textId="77777777" w:rsidTr="00345119">
        <w:tc>
          <w:tcPr>
            <w:tcW w:w="9576" w:type="dxa"/>
          </w:tcPr>
          <w:p w14:paraId="40A0DF01" w14:textId="77777777" w:rsidR="008423E4" w:rsidRPr="00A8133F" w:rsidRDefault="00D3400B" w:rsidP="002B5370">
            <w:pPr>
              <w:rPr>
                <w:b/>
              </w:rPr>
            </w:pPr>
            <w:r w:rsidRPr="009C1E9A">
              <w:rPr>
                <w:b/>
                <w:u w:val="single"/>
              </w:rPr>
              <w:t>RULEMAKING AUTHORITY</w:t>
            </w:r>
            <w:r>
              <w:rPr>
                <w:b/>
              </w:rPr>
              <w:t xml:space="preserve"> </w:t>
            </w:r>
          </w:p>
          <w:p w14:paraId="7697EF91" w14:textId="77777777" w:rsidR="008423E4" w:rsidRDefault="008423E4" w:rsidP="002B5370"/>
          <w:p w14:paraId="3DCE9572" w14:textId="77777777" w:rsidR="00446A88" w:rsidRDefault="00D3400B" w:rsidP="002B5370">
            <w:pPr>
              <w:pStyle w:val="Header"/>
              <w:tabs>
                <w:tab w:val="clear" w:pos="4320"/>
                <w:tab w:val="clear" w:pos="8640"/>
              </w:tabs>
              <w:jc w:val="both"/>
            </w:pPr>
            <w:r>
              <w:t xml:space="preserve">It is the committee's opinion that this bill does not expressly grant any additional rulemaking authority to a state officer, department, </w:t>
            </w:r>
            <w:r>
              <w:t>agency, or institution.</w:t>
            </w:r>
          </w:p>
          <w:p w14:paraId="39481559" w14:textId="77777777" w:rsidR="008423E4" w:rsidRPr="00E21FDC" w:rsidRDefault="008423E4" w:rsidP="002B5370">
            <w:pPr>
              <w:rPr>
                <w:b/>
              </w:rPr>
            </w:pPr>
          </w:p>
        </w:tc>
      </w:tr>
      <w:tr w:rsidR="006E1E52" w14:paraId="49DB4CEA" w14:textId="77777777" w:rsidTr="00345119">
        <w:tc>
          <w:tcPr>
            <w:tcW w:w="9576" w:type="dxa"/>
          </w:tcPr>
          <w:p w14:paraId="339C6D7A" w14:textId="77777777" w:rsidR="008423E4" w:rsidRPr="00A8133F" w:rsidRDefault="00D3400B" w:rsidP="002B5370">
            <w:pPr>
              <w:rPr>
                <w:b/>
              </w:rPr>
            </w:pPr>
            <w:r w:rsidRPr="009C1E9A">
              <w:rPr>
                <w:b/>
                <w:u w:val="single"/>
              </w:rPr>
              <w:t>ANALYSIS</w:t>
            </w:r>
            <w:r>
              <w:rPr>
                <w:b/>
              </w:rPr>
              <w:t xml:space="preserve"> </w:t>
            </w:r>
          </w:p>
          <w:p w14:paraId="1320A2A9" w14:textId="77777777" w:rsidR="008423E4" w:rsidRDefault="008423E4" w:rsidP="002B5370"/>
          <w:p w14:paraId="660CEFDB" w14:textId="4AB120F7" w:rsidR="00446A88" w:rsidRDefault="00D3400B" w:rsidP="002B5370">
            <w:pPr>
              <w:pStyle w:val="Header"/>
              <w:jc w:val="both"/>
            </w:pPr>
            <w:r>
              <w:t>S.B. 1421 amends the Tax Code to authorize an appraisal review board (ARB), on motion of the chief appraiser or of a property owner, to direct by written order changes</w:t>
            </w:r>
            <w:r>
              <w:t xml:space="preserve"> in the appraisal roll or related appraisal records for the current tax year and for either of the two preceding tax years to correct an inaccuracy in the appraised value of the owner's tangible personal property that is the result of an error or omission </w:t>
            </w:r>
            <w:r>
              <w:t>in a rendition statement or property report filed for the applicable tax year. The roll may not be changed for any tax year in which one of the following occurred:</w:t>
            </w:r>
          </w:p>
          <w:p w14:paraId="195A82D2" w14:textId="77777777" w:rsidR="00446A88" w:rsidRDefault="00D3400B" w:rsidP="002B5370">
            <w:pPr>
              <w:pStyle w:val="Header"/>
              <w:numPr>
                <w:ilvl w:val="0"/>
                <w:numId w:val="1"/>
              </w:numPr>
              <w:jc w:val="both"/>
            </w:pPr>
            <w:r>
              <w:t xml:space="preserve">the property owner failed to timely file the rendition statement or property report and was </w:t>
            </w:r>
            <w:r>
              <w:t>assessed a penalty;</w:t>
            </w:r>
          </w:p>
          <w:p w14:paraId="40597919" w14:textId="77777777" w:rsidR="00446A88" w:rsidRDefault="00D3400B" w:rsidP="002B5370">
            <w:pPr>
              <w:pStyle w:val="Header"/>
              <w:numPr>
                <w:ilvl w:val="0"/>
                <w:numId w:val="1"/>
              </w:numPr>
              <w:jc w:val="both"/>
            </w:pPr>
            <w:r>
              <w:t>the property was the subject of a taxpayer protest brought by the property owner, a hearing on the protest was conducted in which the owner offered evidence or argument, and the ARB made a determination of the protest on the merits;</w:t>
            </w:r>
          </w:p>
          <w:p w14:paraId="0D8C2109" w14:textId="3CE7A16D" w:rsidR="00464A86" w:rsidRDefault="00D3400B" w:rsidP="002B5370">
            <w:pPr>
              <w:pStyle w:val="Header"/>
              <w:numPr>
                <w:ilvl w:val="0"/>
                <w:numId w:val="1"/>
              </w:numPr>
              <w:jc w:val="both"/>
            </w:pPr>
            <w:r>
              <w:t>the</w:t>
            </w:r>
            <w:r>
              <w:t xml:space="preserve"> property was the subject of a previous motion filed by the property owner </w:t>
            </w:r>
            <w:r w:rsidRPr="0037754C">
              <w:t>to correct the roll</w:t>
            </w:r>
            <w:r>
              <w:t xml:space="preserve"> and</w:t>
            </w:r>
            <w:r w:rsidR="00C343D7">
              <w:t xml:space="preserve"> </w:t>
            </w:r>
            <w:r w:rsidR="00C343D7" w:rsidRPr="0037754C">
              <w:t>either</w:t>
            </w:r>
            <w:r>
              <w:t>:</w:t>
            </w:r>
          </w:p>
          <w:p w14:paraId="157681F2" w14:textId="68161CB7" w:rsidR="00464A86" w:rsidRDefault="00D3400B" w:rsidP="002B5370">
            <w:pPr>
              <w:pStyle w:val="Header"/>
              <w:numPr>
                <w:ilvl w:val="1"/>
                <w:numId w:val="1"/>
              </w:numPr>
              <w:jc w:val="both"/>
            </w:pPr>
            <w:r>
              <w:t>the chief appraiser and the owner agreed to the correction</w:t>
            </w:r>
            <w:r w:rsidR="006366AB">
              <w:t>;</w:t>
            </w:r>
          </w:p>
          <w:p w14:paraId="2FA2A4A8" w14:textId="3358935D" w:rsidR="00464A86" w:rsidRDefault="00D3400B" w:rsidP="002B5370">
            <w:pPr>
              <w:pStyle w:val="Header"/>
              <w:numPr>
                <w:ilvl w:val="1"/>
                <w:numId w:val="1"/>
              </w:numPr>
              <w:jc w:val="both"/>
            </w:pPr>
            <w:r>
              <w:t>the ARB determined the motion</w:t>
            </w:r>
            <w:r w:rsidR="006366AB">
              <w:t>;</w:t>
            </w:r>
            <w:r>
              <w:t xml:space="preserve"> or</w:t>
            </w:r>
          </w:p>
          <w:p w14:paraId="43878082" w14:textId="6920EFF6" w:rsidR="00446A88" w:rsidRDefault="00D3400B" w:rsidP="002B5370">
            <w:pPr>
              <w:pStyle w:val="Header"/>
              <w:numPr>
                <w:ilvl w:val="1"/>
                <w:numId w:val="1"/>
              </w:numPr>
              <w:jc w:val="both"/>
            </w:pPr>
            <w:r>
              <w:t>the ARB determined that the owner forfeited the right t</w:t>
            </w:r>
            <w:r>
              <w:t>o a final determination of the motion for failing to comply with applicable prepayment requirements; or</w:t>
            </w:r>
          </w:p>
          <w:p w14:paraId="4059DF8E" w14:textId="77777777" w:rsidR="009C36CD" w:rsidRPr="009C36CD" w:rsidRDefault="00D3400B" w:rsidP="002B5370">
            <w:pPr>
              <w:pStyle w:val="Header"/>
              <w:numPr>
                <w:ilvl w:val="0"/>
                <w:numId w:val="1"/>
              </w:numPr>
              <w:tabs>
                <w:tab w:val="clear" w:pos="4320"/>
                <w:tab w:val="clear" w:pos="8640"/>
              </w:tabs>
              <w:jc w:val="both"/>
            </w:pPr>
            <w:r>
              <w:t>the property's appraised value was established as a result of a written agreement between the property owner or the owner's agent and the appraisal dist</w:t>
            </w:r>
            <w:r>
              <w:t>rict.</w:t>
            </w:r>
          </w:p>
          <w:p w14:paraId="52E22CBE" w14:textId="77777777" w:rsidR="008423E4" w:rsidRPr="00835628" w:rsidRDefault="008423E4" w:rsidP="002B5370">
            <w:pPr>
              <w:rPr>
                <w:b/>
              </w:rPr>
            </w:pPr>
          </w:p>
        </w:tc>
      </w:tr>
      <w:tr w:rsidR="006E1E52" w14:paraId="1667E1EE" w14:textId="77777777" w:rsidTr="00345119">
        <w:tc>
          <w:tcPr>
            <w:tcW w:w="9576" w:type="dxa"/>
          </w:tcPr>
          <w:p w14:paraId="7D228951" w14:textId="77777777" w:rsidR="008423E4" w:rsidRPr="00A8133F" w:rsidRDefault="00D3400B" w:rsidP="002B5370">
            <w:pPr>
              <w:rPr>
                <w:b/>
              </w:rPr>
            </w:pPr>
            <w:r w:rsidRPr="009C1E9A">
              <w:rPr>
                <w:b/>
                <w:u w:val="single"/>
              </w:rPr>
              <w:t>EFFECTIVE DATE</w:t>
            </w:r>
            <w:r>
              <w:rPr>
                <w:b/>
              </w:rPr>
              <w:t xml:space="preserve"> </w:t>
            </w:r>
          </w:p>
          <w:p w14:paraId="30FAE03D" w14:textId="77777777" w:rsidR="008423E4" w:rsidRDefault="008423E4" w:rsidP="002B5370"/>
          <w:p w14:paraId="237948B9" w14:textId="77777777" w:rsidR="008423E4" w:rsidRPr="003624F2" w:rsidRDefault="00D3400B" w:rsidP="002B5370">
            <w:pPr>
              <w:pStyle w:val="Header"/>
              <w:tabs>
                <w:tab w:val="clear" w:pos="4320"/>
                <w:tab w:val="clear" w:pos="8640"/>
              </w:tabs>
              <w:jc w:val="both"/>
            </w:pPr>
            <w:r>
              <w:t>September 1, 2021.</w:t>
            </w:r>
          </w:p>
          <w:p w14:paraId="7EE79C66" w14:textId="77777777" w:rsidR="008423E4" w:rsidRPr="00233FDB" w:rsidRDefault="008423E4" w:rsidP="002B5370">
            <w:pPr>
              <w:rPr>
                <w:b/>
              </w:rPr>
            </w:pPr>
          </w:p>
        </w:tc>
      </w:tr>
    </w:tbl>
    <w:p w14:paraId="2A531817" w14:textId="77777777" w:rsidR="008423E4" w:rsidRPr="00BE0E75" w:rsidRDefault="008423E4" w:rsidP="002B5370">
      <w:pPr>
        <w:jc w:val="both"/>
        <w:rPr>
          <w:rFonts w:ascii="Arial" w:hAnsi="Arial"/>
          <w:sz w:val="16"/>
          <w:szCs w:val="16"/>
        </w:rPr>
      </w:pPr>
    </w:p>
    <w:p w14:paraId="50CFFFC6" w14:textId="77777777" w:rsidR="004108C3" w:rsidRPr="008423E4" w:rsidRDefault="004108C3" w:rsidP="002B5370"/>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52E04" w14:textId="77777777" w:rsidR="00000000" w:rsidRDefault="00D3400B">
      <w:r>
        <w:separator/>
      </w:r>
    </w:p>
  </w:endnote>
  <w:endnote w:type="continuationSeparator" w:id="0">
    <w:p w14:paraId="3130684C" w14:textId="77777777" w:rsidR="00000000" w:rsidRDefault="00D3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F938C" w14:textId="77777777" w:rsidR="00371C2D" w:rsidRDefault="00371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E1E52" w14:paraId="3B32C39C" w14:textId="77777777" w:rsidTr="009C1E9A">
      <w:trPr>
        <w:cantSplit/>
      </w:trPr>
      <w:tc>
        <w:tcPr>
          <w:tcW w:w="0" w:type="pct"/>
        </w:tcPr>
        <w:p w14:paraId="0D4FB9F2" w14:textId="77777777" w:rsidR="00137D90" w:rsidRDefault="00137D90" w:rsidP="009C1E9A">
          <w:pPr>
            <w:pStyle w:val="Footer"/>
            <w:tabs>
              <w:tab w:val="clear" w:pos="8640"/>
              <w:tab w:val="right" w:pos="9360"/>
            </w:tabs>
          </w:pPr>
        </w:p>
      </w:tc>
      <w:tc>
        <w:tcPr>
          <w:tcW w:w="2395" w:type="pct"/>
        </w:tcPr>
        <w:p w14:paraId="469D1FA7" w14:textId="77777777" w:rsidR="00137D90" w:rsidRDefault="00137D90" w:rsidP="009C1E9A">
          <w:pPr>
            <w:pStyle w:val="Footer"/>
            <w:tabs>
              <w:tab w:val="clear" w:pos="8640"/>
              <w:tab w:val="right" w:pos="9360"/>
            </w:tabs>
          </w:pPr>
        </w:p>
        <w:p w14:paraId="14D41FFD" w14:textId="77777777" w:rsidR="001A4310" w:rsidRDefault="001A4310" w:rsidP="009C1E9A">
          <w:pPr>
            <w:pStyle w:val="Footer"/>
            <w:tabs>
              <w:tab w:val="clear" w:pos="8640"/>
              <w:tab w:val="right" w:pos="9360"/>
            </w:tabs>
          </w:pPr>
        </w:p>
        <w:p w14:paraId="28DBE9FA" w14:textId="77777777" w:rsidR="00137D90" w:rsidRDefault="00137D90" w:rsidP="009C1E9A">
          <w:pPr>
            <w:pStyle w:val="Footer"/>
            <w:tabs>
              <w:tab w:val="clear" w:pos="8640"/>
              <w:tab w:val="right" w:pos="9360"/>
            </w:tabs>
          </w:pPr>
        </w:p>
      </w:tc>
      <w:tc>
        <w:tcPr>
          <w:tcW w:w="2453" w:type="pct"/>
        </w:tcPr>
        <w:p w14:paraId="17ABF716" w14:textId="77777777" w:rsidR="00137D90" w:rsidRDefault="00137D90" w:rsidP="009C1E9A">
          <w:pPr>
            <w:pStyle w:val="Footer"/>
            <w:tabs>
              <w:tab w:val="clear" w:pos="8640"/>
              <w:tab w:val="right" w:pos="9360"/>
            </w:tabs>
            <w:jc w:val="right"/>
          </w:pPr>
        </w:p>
      </w:tc>
    </w:tr>
    <w:tr w:rsidR="006E1E52" w14:paraId="516B75AF" w14:textId="77777777" w:rsidTr="009C1E9A">
      <w:trPr>
        <w:cantSplit/>
      </w:trPr>
      <w:tc>
        <w:tcPr>
          <w:tcW w:w="0" w:type="pct"/>
        </w:tcPr>
        <w:p w14:paraId="25870F7D" w14:textId="77777777" w:rsidR="00EC379B" w:rsidRDefault="00EC379B" w:rsidP="009C1E9A">
          <w:pPr>
            <w:pStyle w:val="Footer"/>
            <w:tabs>
              <w:tab w:val="clear" w:pos="8640"/>
              <w:tab w:val="right" w:pos="9360"/>
            </w:tabs>
          </w:pPr>
        </w:p>
      </w:tc>
      <w:tc>
        <w:tcPr>
          <w:tcW w:w="2395" w:type="pct"/>
        </w:tcPr>
        <w:p w14:paraId="496A03C1" w14:textId="71ED881E" w:rsidR="00EC379B" w:rsidRPr="009C1E9A" w:rsidRDefault="00D3400B" w:rsidP="009C1E9A">
          <w:pPr>
            <w:pStyle w:val="Footer"/>
            <w:tabs>
              <w:tab w:val="clear" w:pos="8640"/>
              <w:tab w:val="right" w:pos="9360"/>
            </w:tabs>
            <w:rPr>
              <w:rFonts w:ascii="Shruti" w:hAnsi="Shruti"/>
              <w:sz w:val="22"/>
            </w:rPr>
          </w:pPr>
          <w:r>
            <w:rPr>
              <w:rFonts w:ascii="Shruti" w:hAnsi="Shruti"/>
              <w:sz w:val="22"/>
            </w:rPr>
            <w:t>87R 26400</w:t>
          </w:r>
        </w:p>
      </w:tc>
      <w:tc>
        <w:tcPr>
          <w:tcW w:w="2453" w:type="pct"/>
        </w:tcPr>
        <w:p w14:paraId="031ED8AF" w14:textId="2D6A55AE" w:rsidR="00EC379B" w:rsidRDefault="00D3400B" w:rsidP="009C1E9A">
          <w:pPr>
            <w:pStyle w:val="Footer"/>
            <w:tabs>
              <w:tab w:val="clear" w:pos="8640"/>
              <w:tab w:val="right" w:pos="9360"/>
            </w:tabs>
            <w:jc w:val="right"/>
          </w:pPr>
          <w:r>
            <w:fldChar w:fldCharType="begin"/>
          </w:r>
          <w:r>
            <w:instrText xml:space="preserve"> DOCPROPERTY  OTID  \* MERGEFORMAT </w:instrText>
          </w:r>
          <w:r>
            <w:fldChar w:fldCharType="separate"/>
          </w:r>
          <w:r w:rsidR="00E27480">
            <w:t>21.132.1861</w:t>
          </w:r>
          <w:r>
            <w:fldChar w:fldCharType="end"/>
          </w:r>
        </w:p>
      </w:tc>
    </w:tr>
    <w:tr w:rsidR="006E1E52" w14:paraId="55064185" w14:textId="77777777" w:rsidTr="009C1E9A">
      <w:trPr>
        <w:cantSplit/>
      </w:trPr>
      <w:tc>
        <w:tcPr>
          <w:tcW w:w="0" w:type="pct"/>
        </w:tcPr>
        <w:p w14:paraId="228E98B0" w14:textId="77777777" w:rsidR="00EC379B" w:rsidRDefault="00EC379B" w:rsidP="009C1E9A">
          <w:pPr>
            <w:pStyle w:val="Footer"/>
            <w:tabs>
              <w:tab w:val="clear" w:pos="4320"/>
              <w:tab w:val="clear" w:pos="8640"/>
              <w:tab w:val="left" w:pos="2865"/>
            </w:tabs>
          </w:pPr>
        </w:p>
      </w:tc>
      <w:tc>
        <w:tcPr>
          <w:tcW w:w="2395" w:type="pct"/>
        </w:tcPr>
        <w:p w14:paraId="538467CF"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198F622B" w14:textId="77777777" w:rsidR="00EC379B" w:rsidRDefault="00EC379B" w:rsidP="006D504F">
          <w:pPr>
            <w:pStyle w:val="Footer"/>
            <w:rPr>
              <w:rStyle w:val="PageNumber"/>
            </w:rPr>
          </w:pPr>
        </w:p>
        <w:p w14:paraId="2CB5C9AA" w14:textId="77777777" w:rsidR="00EC379B" w:rsidRDefault="00EC379B" w:rsidP="009C1E9A">
          <w:pPr>
            <w:pStyle w:val="Footer"/>
            <w:tabs>
              <w:tab w:val="clear" w:pos="8640"/>
              <w:tab w:val="right" w:pos="9360"/>
            </w:tabs>
            <w:jc w:val="right"/>
          </w:pPr>
        </w:p>
      </w:tc>
    </w:tr>
    <w:tr w:rsidR="006E1E52" w14:paraId="2ECF0036" w14:textId="77777777" w:rsidTr="009C1E9A">
      <w:trPr>
        <w:cantSplit/>
        <w:trHeight w:val="323"/>
      </w:trPr>
      <w:tc>
        <w:tcPr>
          <w:tcW w:w="0" w:type="pct"/>
          <w:gridSpan w:val="3"/>
        </w:tcPr>
        <w:p w14:paraId="6C0C5F15" w14:textId="6BF6A41C" w:rsidR="00EC379B" w:rsidRDefault="00D3400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B5370">
            <w:rPr>
              <w:rStyle w:val="PageNumber"/>
              <w:noProof/>
            </w:rPr>
            <w:t>2</w:t>
          </w:r>
          <w:r>
            <w:rPr>
              <w:rStyle w:val="PageNumber"/>
            </w:rPr>
            <w:fldChar w:fldCharType="end"/>
          </w:r>
        </w:p>
        <w:p w14:paraId="31A8ABAE" w14:textId="77777777" w:rsidR="00EC379B" w:rsidRDefault="00EC379B" w:rsidP="009C1E9A">
          <w:pPr>
            <w:pStyle w:val="Footer"/>
            <w:tabs>
              <w:tab w:val="clear" w:pos="8640"/>
              <w:tab w:val="right" w:pos="9360"/>
            </w:tabs>
            <w:jc w:val="center"/>
          </w:pPr>
        </w:p>
      </w:tc>
    </w:tr>
  </w:tbl>
  <w:p w14:paraId="5647F4D4"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9D07E" w14:textId="77777777" w:rsidR="00371C2D" w:rsidRDefault="00371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A48FA" w14:textId="77777777" w:rsidR="00000000" w:rsidRDefault="00D3400B">
      <w:r>
        <w:separator/>
      </w:r>
    </w:p>
  </w:footnote>
  <w:footnote w:type="continuationSeparator" w:id="0">
    <w:p w14:paraId="77AED94B" w14:textId="77777777" w:rsidR="00000000" w:rsidRDefault="00D34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71EA4" w14:textId="77777777" w:rsidR="00371C2D" w:rsidRDefault="00371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B1974" w14:textId="77777777" w:rsidR="00371C2D" w:rsidRDefault="00371C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387CE" w14:textId="77777777" w:rsidR="00371C2D" w:rsidRDefault="00371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26F46"/>
    <w:multiLevelType w:val="hybridMultilevel"/>
    <w:tmpl w:val="28F45B16"/>
    <w:lvl w:ilvl="0" w:tplc="D2382EA6">
      <w:start w:val="1"/>
      <w:numFmt w:val="bullet"/>
      <w:lvlText w:val=""/>
      <w:lvlJc w:val="left"/>
      <w:pPr>
        <w:tabs>
          <w:tab w:val="num" w:pos="720"/>
        </w:tabs>
        <w:ind w:left="720" w:hanging="360"/>
      </w:pPr>
      <w:rPr>
        <w:rFonts w:ascii="Symbol" w:hAnsi="Symbol" w:hint="default"/>
      </w:rPr>
    </w:lvl>
    <w:lvl w:ilvl="1" w:tplc="195AF800">
      <w:start w:val="1"/>
      <w:numFmt w:val="bullet"/>
      <w:lvlText w:val="o"/>
      <w:lvlJc w:val="left"/>
      <w:pPr>
        <w:ind w:left="1440" w:hanging="360"/>
      </w:pPr>
      <w:rPr>
        <w:rFonts w:ascii="Courier New" w:hAnsi="Courier New" w:cs="Courier New" w:hint="default"/>
      </w:rPr>
    </w:lvl>
    <w:lvl w:ilvl="2" w:tplc="A09C1F8A" w:tentative="1">
      <w:start w:val="1"/>
      <w:numFmt w:val="bullet"/>
      <w:lvlText w:val=""/>
      <w:lvlJc w:val="left"/>
      <w:pPr>
        <w:ind w:left="2160" w:hanging="360"/>
      </w:pPr>
      <w:rPr>
        <w:rFonts w:ascii="Wingdings" w:hAnsi="Wingdings" w:hint="default"/>
      </w:rPr>
    </w:lvl>
    <w:lvl w:ilvl="3" w:tplc="58BA2C88" w:tentative="1">
      <w:start w:val="1"/>
      <w:numFmt w:val="bullet"/>
      <w:lvlText w:val=""/>
      <w:lvlJc w:val="left"/>
      <w:pPr>
        <w:ind w:left="2880" w:hanging="360"/>
      </w:pPr>
      <w:rPr>
        <w:rFonts w:ascii="Symbol" w:hAnsi="Symbol" w:hint="default"/>
      </w:rPr>
    </w:lvl>
    <w:lvl w:ilvl="4" w:tplc="D5BAF872" w:tentative="1">
      <w:start w:val="1"/>
      <w:numFmt w:val="bullet"/>
      <w:lvlText w:val="o"/>
      <w:lvlJc w:val="left"/>
      <w:pPr>
        <w:ind w:left="3600" w:hanging="360"/>
      </w:pPr>
      <w:rPr>
        <w:rFonts w:ascii="Courier New" w:hAnsi="Courier New" w:cs="Courier New" w:hint="default"/>
      </w:rPr>
    </w:lvl>
    <w:lvl w:ilvl="5" w:tplc="B2B2F24E" w:tentative="1">
      <w:start w:val="1"/>
      <w:numFmt w:val="bullet"/>
      <w:lvlText w:val=""/>
      <w:lvlJc w:val="left"/>
      <w:pPr>
        <w:ind w:left="4320" w:hanging="360"/>
      </w:pPr>
      <w:rPr>
        <w:rFonts w:ascii="Wingdings" w:hAnsi="Wingdings" w:hint="default"/>
      </w:rPr>
    </w:lvl>
    <w:lvl w:ilvl="6" w:tplc="5F9E96E4" w:tentative="1">
      <w:start w:val="1"/>
      <w:numFmt w:val="bullet"/>
      <w:lvlText w:val=""/>
      <w:lvlJc w:val="left"/>
      <w:pPr>
        <w:ind w:left="5040" w:hanging="360"/>
      </w:pPr>
      <w:rPr>
        <w:rFonts w:ascii="Symbol" w:hAnsi="Symbol" w:hint="default"/>
      </w:rPr>
    </w:lvl>
    <w:lvl w:ilvl="7" w:tplc="1EE23C1E" w:tentative="1">
      <w:start w:val="1"/>
      <w:numFmt w:val="bullet"/>
      <w:lvlText w:val="o"/>
      <w:lvlJc w:val="left"/>
      <w:pPr>
        <w:ind w:left="5760" w:hanging="360"/>
      </w:pPr>
      <w:rPr>
        <w:rFonts w:ascii="Courier New" w:hAnsi="Courier New" w:cs="Courier New" w:hint="default"/>
      </w:rPr>
    </w:lvl>
    <w:lvl w:ilvl="8" w:tplc="94BECEE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88"/>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000C"/>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28"/>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29A"/>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370"/>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3999"/>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1C2D"/>
    <w:rsid w:val="003747DF"/>
    <w:rsid w:val="0037754C"/>
    <w:rsid w:val="00377E3D"/>
    <w:rsid w:val="003847E8"/>
    <w:rsid w:val="0038731D"/>
    <w:rsid w:val="00387B60"/>
    <w:rsid w:val="00390098"/>
    <w:rsid w:val="00390881"/>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6A88"/>
    <w:rsid w:val="00447018"/>
    <w:rsid w:val="00450561"/>
    <w:rsid w:val="00450A40"/>
    <w:rsid w:val="00451D7C"/>
    <w:rsid w:val="00452FC3"/>
    <w:rsid w:val="00455936"/>
    <w:rsid w:val="00455ACE"/>
    <w:rsid w:val="00461B69"/>
    <w:rsid w:val="00462B3D"/>
    <w:rsid w:val="004636E3"/>
    <w:rsid w:val="00464A86"/>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3421"/>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366AB"/>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4483"/>
    <w:rsid w:val="006B54C5"/>
    <w:rsid w:val="006B5E80"/>
    <w:rsid w:val="006B7A2E"/>
    <w:rsid w:val="006C4709"/>
    <w:rsid w:val="006D3005"/>
    <w:rsid w:val="006D504F"/>
    <w:rsid w:val="006E0CAC"/>
    <w:rsid w:val="006E1CFB"/>
    <w:rsid w:val="006E1E52"/>
    <w:rsid w:val="006E1F94"/>
    <w:rsid w:val="006E26C1"/>
    <w:rsid w:val="006E30A8"/>
    <w:rsid w:val="006E45B0"/>
    <w:rsid w:val="006E5692"/>
    <w:rsid w:val="006F2ED6"/>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A36"/>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43C2"/>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198F"/>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198C"/>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7B1"/>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1B41"/>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36317"/>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3F1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43D7"/>
    <w:rsid w:val="00C35CC5"/>
    <w:rsid w:val="00C361C5"/>
    <w:rsid w:val="00C377D1"/>
    <w:rsid w:val="00C37BDA"/>
    <w:rsid w:val="00C37C84"/>
    <w:rsid w:val="00C42B41"/>
    <w:rsid w:val="00C46166"/>
    <w:rsid w:val="00C4710D"/>
    <w:rsid w:val="00C50B96"/>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2F13"/>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400B"/>
    <w:rsid w:val="00D35728"/>
    <w:rsid w:val="00D37BCF"/>
    <w:rsid w:val="00D40F93"/>
    <w:rsid w:val="00D42277"/>
    <w:rsid w:val="00D43C59"/>
    <w:rsid w:val="00D44ADE"/>
    <w:rsid w:val="00D50D65"/>
    <w:rsid w:val="00D512E0"/>
    <w:rsid w:val="00D519F3"/>
    <w:rsid w:val="00D51D2A"/>
    <w:rsid w:val="00D533EF"/>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066F"/>
    <w:rsid w:val="00E1228E"/>
    <w:rsid w:val="00E13374"/>
    <w:rsid w:val="00E14079"/>
    <w:rsid w:val="00E15F90"/>
    <w:rsid w:val="00E16D3E"/>
    <w:rsid w:val="00E17167"/>
    <w:rsid w:val="00E20520"/>
    <w:rsid w:val="00E21D55"/>
    <w:rsid w:val="00E21FDC"/>
    <w:rsid w:val="00E2551E"/>
    <w:rsid w:val="00E26B13"/>
    <w:rsid w:val="00E27480"/>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3A01"/>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DB32E9-878C-4DCF-AF06-7BD831AA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46A88"/>
    <w:rPr>
      <w:sz w:val="16"/>
      <w:szCs w:val="16"/>
    </w:rPr>
  </w:style>
  <w:style w:type="paragraph" w:styleId="CommentText">
    <w:name w:val="annotation text"/>
    <w:basedOn w:val="Normal"/>
    <w:link w:val="CommentTextChar"/>
    <w:semiHidden/>
    <w:unhideWhenUsed/>
    <w:rsid w:val="00446A88"/>
    <w:rPr>
      <w:sz w:val="20"/>
      <w:szCs w:val="20"/>
    </w:rPr>
  </w:style>
  <w:style w:type="character" w:customStyle="1" w:styleId="CommentTextChar">
    <w:name w:val="Comment Text Char"/>
    <w:basedOn w:val="DefaultParagraphFont"/>
    <w:link w:val="CommentText"/>
    <w:semiHidden/>
    <w:rsid w:val="00446A88"/>
  </w:style>
  <w:style w:type="paragraph" w:styleId="CommentSubject">
    <w:name w:val="annotation subject"/>
    <w:basedOn w:val="CommentText"/>
    <w:next w:val="CommentText"/>
    <w:link w:val="CommentSubjectChar"/>
    <w:semiHidden/>
    <w:unhideWhenUsed/>
    <w:rsid w:val="00446A88"/>
    <w:rPr>
      <w:b/>
      <w:bCs/>
    </w:rPr>
  </w:style>
  <w:style w:type="character" w:customStyle="1" w:styleId="CommentSubjectChar">
    <w:name w:val="Comment Subject Char"/>
    <w:basedOn w:val="CommentTextChar"/>
    <w:link w:val="CommentSubject"/>
    <w:semiHidden/>
    <w:rsid w:val="00446A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2478</Characters>
  <Application>Microsoft Office Word</Application>
  <DocSecurity>4</DocSecurity>
  <Lines>63</Lines>
  <Paragraphs>22</Paragraphs>
  <ScaleCrop>false</ScaleCrop>
  <HeadingPairs>
    <vt:vector size="2" baseType="variant">
      <vt:variant>
        <vt:lpstr>Title</vt:lpstr>
      </vt:variant>
      <vt:variant>
        <vt:i4>1</vt:i4>
      </vt:variant>
    </vt:vector>
  </HeadingPairs>
  <TitlesOfParts>
    <vt:vector size="1" baseType="lpstr">
      <vt:lpstr>BA - SB01421 (Committee Report (Unamended))</vt:lpstr>
    </vt:vector>
  </TitlesOfParts>
  <Company>State of Texas</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26400</dc:subject>
  <dc:creator>State of Texas</dc:creator>
  <dc:description>SB 1421 by Bettencourt-(H)Ways &amp; Means</dc:description>
  <cp:lastModifiedBy>Damian Duarte</cp:lastModifiedBy>
  <cp:revision>2</cp:revision>
  <cp:lastPrinted>2003-11-26T17:21:00Z</cp:lastPrinted>
  <dcterms:created xsi:type="dcterms:W3CDTF">2021-05-14T20:03:00Z</dcterms:created>
  <dcterms:modified xsi:type="dcterms:W3CDTF">2021-05-14T20:03:00Z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21.132.1861</vt:lpwstr>
  </property>
</Properties>
</file>