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27899" w14:paraId="4AE82B85" w14:textId="77777777" w:rsidTr="00345119">
        <w:tc>
          <w:tcPr>
            <w:tcW w:w="9576" w:type="dxa"/>
            <w:noWrap/>
          </w:tcPr>
          <w:p w14:paraId="19DCE920" w14:textId="77777777" w:rsidR="008423E4" w:rsidRPr="0022177D" w:rsidRDefault="000B53B1" w:rsidP="00895A8B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47DA5E50" w14:textId="77777777" w:rsidR="008423E4" w:rsidRPr="0022177D" w:rsidRDefault="008423E4" w:rsidP="00895A8B">
      <w:pPr>
        <w:jc w:val="center"/>
      </w:pPr>
    </w:p>
    <w:p w14:paraId="1F610A77" w14:textId="77777777" w:rsidR="008423E4" w:rsidRPr="00B31F0E" w:rsidRDefault="008423E4" w:rsidP="00895A8B"/>
    <w:p w14:paraId="68DB442E" w14:textId="77777777" w:rsidR="008423E4" w:rsidRPr="00742794" w:rsidRDefault="008423E4" w:rsidP="00895A8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27899" w14:paraId="540058D0" w14:textId="77777777" w:rsidTr="00345119">
        <w:tc>
          <w:tcPr>
            <w:tcW w:w="9576" w:type="dxa"/>
          </w:tcPr>
          <w:p w14:paraId="3ED38775" w14:textId="77777777" w:rsidR="008423E4" w:rsidRPr="00861995" w:rsidRDefault="000B53B1" w:rsidP="00895A8B">
            <w:pPr>
              <w:jc w:val="right"/>
            </w:pPr>
            <w:r>
              <w:t>S.B. 1467</w:t>
            </w:r>
          </w:p>
        </w:tc>
      </w:tr>
      <w:tr w:rsidR="00B27899" w14:paraId="602F08ED" w14:textId="77777777" w:rsidTr="00345119">
        <w:tc>
          <w:tcPr>
            <w:tcW w:w="9576" w:type="dxa"/>
          </w:tcPr>
          <w:p w14:paraId="2C5BFE14" w14:textId="77777777" w:rsidR="008423E4" w:rsidRPr="00861995" w:rsidRDefault="000B53B1" w:rsidP="00895A8B">
            <w:pPr>
              <w:jc w:val="right"/>
            </w:pPr>
            <w:r>
              <w:t xml:space="preserve">By: </w:t>
            </w:r>
            <w:r w:rsidR="0063727A">
              <w:t>Hinojosa</w:t>
            </w:r>
          </w:p>
        </w:tc>
      </w:tr>
      <w:tr w:rsidR="00B27899" w14:paraId="5F85786F" w14:textId="77777777" w:rsidTr="00345119">
        <w:tc>
          <w:tcPr>
            <w:tcW w:w="9576" w:type="dxa"/>
          </w:tcPr>
          <w:p w14:paraId="077646C4" w14:textId="77777777" w:rsidR="008423E4" w:rsidRPr="00861995" w:rsidRDefault="000B53B1" w:rsidP="00895A8B">
            <w:pPr>
              <w:jc w:val="right"/>
            </w:pPr>
            <w:r>
              <w:t>Higher Education</w:t>
            </w:r>
          </w:p>
        </w:tc>
      </w:tr>
      <w:tr w:rsidR="00B27899" w14:paraId="6B378B84" w14:textId="77777777" w:rsidTr="00345119">
        <w:tc>
          <w:tcPr>
            <w:tcW w:w="9576" w:type="dxa"/>
          </w:tcPr>
          <w:p w14:paraId="1E6A331C" w14:textId="77777777" w:rsidR="008423E4" w:rsidRDefault="000B53B1" w:rsidP="00895A8B">
            <w:pPr>
              <w:jc w:val="right"/>
            </w:pPr>
            <w:r>
              <w:t>Committee Report (Unamended)</w:t>
            </w:r>
          </w:p>
        </w:tc>
      </w:tr>
    </w:tbl>
    <w:p w14:paraId="4CF038B2" w14:textId="77777777" w:rsidR="008423E4" w:rsidRDefault="008423E4" w:rsidP="00895A8B">
      <w:pPr>
        <w:tabs>
          <w:tab w:val="right" w:pos="9360"/>
        </w:tabs>
      </w:pPr>
    </w:p>
    <w:p w14:paraId="36BBD450" w14:textId="77777777" w:rsidR="008423E4" w:rsidRDefault="008423E4" w:rsidP="00895A8B"/>
    <w:p w14:paraId="5ECCDE1F" w14:textId="77777777" w:rsidR="008423E4" w:rsidRDefault="008423E4" w:rsidP="00895A8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27899" w14:paraId="2AF37DD7" w14:textId="77777777" w:rsidTr="00345119">
        <w:tc>
          <w:tcPr>
            <w:tcW w:w="9576" w:type="dxa"/>
          </w:tcPr>
          <w:p w14:paraId="74723C07" w14:textId="77777777" w:rsidR="008423E4" w:rsidRPr="00A8133F" w:rsidRDefault="000B53B1" w:rsidP="00895A8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D75C08B" w14:textId="77777777" w:rsidR="008423E4" w:rsidRDefault="008423E4" w:rsidP="00895A8B"/>
          <w:p w14:paraId="096872D6" w14:textId="4A4EE1C8" w:rsidR="008423E4" w:rsidRDefault="000B53B1" w:rsidP="00895A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University of Texas Rio Grande Valley (UTRGV) was officially established by the 83rd Legislature as a successor </w:t>
            </w:r>
            <w:r w:rsidRPr="001B10A4">
              <w:t>institution to</w:t>
            </w:r>
            <w:r>
              <w:t xml:space="preserve"> The University of Texas-Pan American and T</w:t>
            </w:r>
            <w:r w:rsidRPr="001B10A4">
              <w:t>he</w:t>
            </w:r>
            <w:r>
              <w:t xml:space="preserve"> University of Texas at Brownsville, which were abolished. It has been noted that several statutory provisions still refer to these predecessor institutions, which has resulted in duplicative provisions regardin</w:t>
            </w:r>
            <w:r>
              <w:t xml:space="preserve">g student fees. There have been calls to update these provisions to accurately reflect the operation of UTRGV and to ensure </w:t>
            </w:r>
            <w:r w:rsidRPr="00135106">
              <w:t xml:space="preserve">that </w:t>
            </w:r>
            <w:r>
              <w:t>the university</w:t>
            </w:r>
            <w:r w:rsidRPr="00135106">
              <w:t xml:space="preserve"> can operate its facilities and honor its contractual commitments to Texas Southmost College</w:t>
            </w:r>
            <w:r>
              <w:t xml:space="preserve">. </w:t>
            </w:r>
            <w:r w:rsidR="00971C65">
              <w:t>S.B. 1467</w:t>
            </w:r>
            <w:r>
              <w:t xml:space="preserve"> seeks to </w:t>
            </w:r>
            <w:r>
              <w:t>enact those updates</w:t>
            </w:r>
            <w:r w:rsidRPr="00135106">
              <w:t>.</w:t>
            </w:r>
          </w:p>
          <w:p w14:paraId="070A2329" w14:textId="77777777" w:rsidR="008423E4" w:rsidRPr="00E26B13" w:rsidRDefault="008423E4" w:rsidP="00895A8B">
            <w:pPr>
              <w:rPr>
                <w:b/>
              </w:rPr>
            </w:pPr>
          </w:p>
        </w:tc>
      </w:tr>
      <w:tr w:rsidR="00B27899" w14:paraId="623A4BD8" w14:textId="77777777" w:rsidTr="00345119">
        <w:tc>
          <w:tcPr>
            <w:tcW w:w="9576" w:type="dxa"/>
          </w:tcPr>
          <w:p w14:paraId="5A2F5F72" w14:textId="77777777" w:rsidR="0017725B" w:rsidRDefault="000B53B1" w:rsidP="00895A8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66D770C" w14:textId="77777777" w:rsidR="0017725B" w:rsidRDefault="0017725B" w:rsidP="00895A8B">
            <w:pPr>
              <w:rPr>
                <w:b/>
                <w:u w:val="single"/>
              </w:rPr>
            </w:pPr>
          </w:p>
          <w:p w14:paraId="107CF103" w14:textId="77777777" w:rsidR="0063727A" w:rsidRPr="0063727A" w:rsidRDefault="000B53B1" w:rsidP="00895A8B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</w:t>
            </w:r>
            <w:r>
              <w:t>on for community supervision, parole, or mandatory supervision.</w:t>
            </w:r>
          </w:p>
          <w:p w14:paraId="2436B7EA" w14:textId="77777777" w:rsidR="0017725B" w:rsidRPr="0017725B" w:rsidRDefault="0017725B" w:rsidP="00895A8B">
            <w:pPr>
              <w:rPr>
                <w:b/>
                <w:u w:val="single"/>
              </w:rPr>
            </w:pPr>
          </w:p>
        </w:tc>
      </w:tr>
      <w:tr w:rsidR="00B27899" w14:paraId="3CA5BE25" w14:textId="77777777" w:rsidTr="00345119">
        <w:tc>
          <w:tcPr>
            <w:tcW w:w="9576" w:type="dxa"/>
          </w:tcPr>
          <w:p w14:paraId="717C9461" w14:textId="77777777" w:rsidR="008423E4" w:rsidRPr="00A8133F" w:rsidRDefault="000B53B1" w:rsidP="00895A8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3553131" w14:textId="77777777" w:rsidR="008423E4" w:rsidRDefault="008423E4" w:rsidP="00895A8B"/>
          <w:p w14:paraId="064D0AA2" w14:textId="77777777" w:rsidR="0063727A" w:rsidRDefault="000B53B1" w:rsidP="00895A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49D968F" w14:textId="77777777" w:rsidR="008423E4" w:rsidRPr="00E21FDC" w:rsidRDefault="008423E4" w:rsidP="00895A8B">
            <w:pPr>
              <w:rPr>
                <w:b/>
              </w:rPr>
            </w:pPr>
          </w:p>
        </w:tc>
      </w:tr>
      <w:tr w:rsidR="00B27899" w14:paraId="36440A67" w14:textId="77777777" w:rsidTr="00345119">
        <w:tc>
          <w:tcPr>
            <w:tcW w:w="9576" w:type="dxa"/>
          </w:tcPr>
          <w:p w14:paraId="3D7C753F" w14:textId="77777777" w:rsidR="008423E4" w:rsidRPr="00A8133F" w:rsidRDefault="000B53B1" w:rsidP="00895A8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</w:t>
            </w:r>
            <w:r w:rsidRPr="009C1E9A">
              <w:rPr>
                <w:b/>
                <w:u w:val="single"/>
              </w:rPr>
              <w:t>LYSIS</w:t>
            </w:r>
            <w:r>
              <w:rPr>
                <w:b/>
              </w:rPr>
              <w:t xml:space="preserve"> </w:t>
            </w:r>
          </w:p>
          <w:p w14:paraId="6AAAC9A0" w14:textId="77777777" w:rsidR="008423E4" w:rsidRDefault="008423E4" w:rsidP="00895A8B"/>
          <w:p w14:paraId="3505F3DD" w14:textId="4F389F3B" w:rsidR="0063727A" w:rsidRDefault="000B53B1" w:rsidP="00895A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1467 amends the Education Code, Health and Safety Code, and Government</w:t>
            </w:r>
            <w:r>
              <w:t xml:space="preserve"> Code to update outdated references to The University of Texas-Pan American (UTPA) and The University of Texas at Brownsville (UTB), which were previously abolished and replaced with The University of Texas Rio Grande Valley (UTRGV). </w:t>
            </w:r>
          </w:p>
          <w:p w14:paraId="40693EFA" w14:textId="77777777" w:rsidR="0063727A" w:rsidRDefault="0063727A" w:rsidP="00895A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0A1C08F" w14:textId="4BB1D7A1" w:rsidR="0063727A" w:rsidRDefault="000B53B1" w:rsidP="00895A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1467 makes cert</w:t>
            </w:r>
            <w:r>
              <w:t xml:space="preserve">ain clarifying changes </w:t>
            </w:r>
            <w:r w:rsidRPr="000849D5">
              <w:t xml:space="preserve">regarding fees imposed on </w:t>
            </w:r>
            <w:r>
              <w:t xml:space="preserve">UTRGV </w:t>
            </w:r>
            <w:r w:rsidRPr="000849D5">
              <w:t>students, as the fee provisions for the abolished predecessor institutions conflict.</w:t>
            </w:r>
            <w:r>
              <w:t xml:space="preserve"> With respect to student union fees, the bill makes provisions that applied to UTPA applicable to UTRGV and clarifies</w:t>
            </w:r>
            <w:r>
              <w:t xml:space="preserve"> the purpose for which such a fee may be imposed. </w:t>
            </w:r>
          </w:p>
          <w:p w14:paraId="7864E937" w14:textId="77777777" w:rsidR="0063727A" w:rsidRDefault="0063727A" w:rsidP="00895A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253D6D2" w14:textId="00AA0BAA" w:rsidR="0063727A" w:rsidRDefault="000B53B1" w:rsidP="00895A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1467</w:t>
            </w:r>
            <w:r w:rsidRPr="00235E01">
              <w:t xml:space="preserve"> </w:t>
            </w:r>
            <w:r>
              <w:t>specifies that</w:t>
            </w:r>
            <w:r w:rsidRPr="00235E01">
              <w:t xml:space="preserve"> the </w:t>
            </w:r>
            <w:r w:rsidRPr="00505134">
              <w:t>cap on the</w:t>
            </w:r>
            <w:r w:rsidRPr="00235E01">
              <w:t xml:space="preserve"> sports recreation and wellness facility fee that may be </w:t>
            </w:r>
            <w:r>
              <w:t>imposed on UTRGV</w:t>
            </w:r>
            <w:r w:rsidRPr="00235E01">
              <w:t xml:space="preserve"> </w:t>
            </w:r>
            <w:r>
              <w:t>students is $79 per student for each regular semester and $39.50 per student each term of t</w:t>
            </w:r>
            <w:r>
              <w:t xml:space="preserve">he summer session, as it was for UTB. </w:t>
            </w:r>
            <w:r w:rsidRPr="009179E7">
              <w:t xml:space="preserve">The bill also clarifies the </w:t>
            </w:r>
            <w:r>
              <w:t>restrictions on</w:t>
            </w:r>
            <w:r w:rsidRPr="009179E7">
              <w:t xml:space="preserve"> fee increases</w:t>
            </w:r>
            <w:r>
              <w:t xml:space="preserve"> and provides for the following with respect to use of the fee:</w:t>
            </w:r>
          </w:p>
          <w:p w14:paraId="7565093B" w14:textId="77777777" w:rsidR="0063727A" w:rsidRPr="00D06C57" w:rsidRDefault="000B53B1" w:rsidP="00895A8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requirement for money in the </w:t>
            </w:r>
            <w:r w:rsidRPr="00F04452">
              <w:t>sports recreation and wellness facility account</w:t>
            </w:r>
            <w:r>
              <w:t xml:space="preserve">, to which the fee </w:t>
            </w:r>
            <w:r>
              <w:t xml:space="preserve">is deposited, to be used to </w:t>
            </w:r>
            <w:r w:rsidRPr="003B10EA">
              <w:t xml:space="preserve">the extent required in accordance with the terms of the settlement agreement between the </w:t>
            </w:r>
            <w:r w:rsidRPr="00D06C57">
              <w:t>board of regents</w:t>
            </w:r>
            <w:r>
              <w:t xml:space="preserve"> of The University of Texas System </w:t>
            </w:r>
            <w:r w:rsidRPr="003B10EA">
              <w:t xml:space="preserve">and the board of trustees of the Texas Southmost College District, as amended from time </w:t>
            </w:r>
            <w:r w:rsidRPr="003B10EA">
              <w:t>to time</w:t>
            </w:r>
            <w:r>
              <w:t xml:space="preserve">, terminating the partnership agreement </w:t>
            </w:r>
            <w:r w:rsidRPr="00D06C57">
              <w:t>that was previously autho</w:t>
            </w:r>
            <w:r>
              <w:t>rized between the district and T</w:t>
            </w:r>
            <w:r w:rsidRPr="00D06C57">
              <w:t xml:space="preserve">he University of Texas at Brownsville; </w:t>
            </w:r>
            <w:r>
              <w:t>and</w:t>
            </w:r>
          </w:p>
          <w:p w14:paraId="40201F8F" w14:textId="77777777" w:rsidR="0063727A" w:rsidRDefault="000B53B1" w:rsidP="00895A8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authority of the </w:t>
            </w:r>
            <w:r w:rsidRPr="00D06C57">
              <w:t>board of regents</w:t>
            </w:r>
            <w:r>
              <w:t xml:space="preserve"> to </w:t>
            </w:r>
            <w:r w:rsidRPr="003B10EA">
              <w:t>use</w:t>
            </w:r>
            <w:r>
              <w:t xml:space="preserve">, and the </w:t>
            </w:r>
            <w:r w:rsidRPr="00D06C57">
              <w:t>authority of</w:t>
            </w:r>
            <w:r>
              <w:t xml:space="preserve"> the board of trustees of the Texas Southmo</w:t>
            </w:r>
            <w:r>
              <w:t xml:space="preserve">st College District to pledge, revenue from the fee to </w:t>
            </w:r>
            <w:r w:rsidRPr="00D06C57">
              <w:t>pay certain obligations issued in</w:t>
            </w:r>
            <w:r>
              <w:t xml:space="preserve"> relation to financing</w:t>
            </w:r>
            <w:r w:rsidRPr="003B10EA">
              <w:t>, construct</w:t>
            </w:r>
            <w:r>
              <w:t>ing, operating</w:t>
            </w:r>
            <w:r w:rsidRPr="003B10EA">
              <w:t>, maintain</w:t>
            </w:r>
            <w:r>
              <w:t>ing, renovating</w:t>
            </w:r>
            <w:r w:rsidRPr="003B10EA">
              <w:t xml:space="preserve">, or </w:t>
            </w:r>
            <w:r>
              <w:t>improving</w:t>
            </w:r>
            <w:r w:rsidRPr="003B10EA">
              <w:t xml:space="preserve"> a wellness, recreational, and fitness complex owned by Texas Southmost College an</w:t>
            </w:r>
            <w:r w:rsidRPr="003B10EA">
              <w:t xml:space="preserve">d used by </w:t>
            </w:r>
            <w:r>
              <w:t>UTRGV</w:t>
            </w:r>
            <w:r w:rsidRPr="003B10EA">
              <w:t xml:space="preserve"> under the terms of the settlement agreement</w:t>
            </w:r>
            <w:r>
              <w:t xml:space="preserve">. </w:t>
            </w:r>
          </w:p>
          <w:p w14:paraId="2B6785FF" w14:textId="77777777" w:rsidR="0063727A" w:rsidRDefault="0063727A" w:rsidP="00895A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D8C4155" w14:textId="168E39E0" w:rsidR="0063727A" w:rsidRDefault="000B53B1" w:rsidP="00895A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1467 provides that an intercollegiate athletics fee may be imposed on UTRGV students in an amount not to exceed $15 per semester credit hour </w:t>
            </w:r>
            <w:r w:rsidRPr="00CE47C4">
              <w:t>for each regular semester or summer session</w:t>
            </w:r>
            <w:r>
              <w:t xml:space="preserve"> and</w:t>
            </w:r>
            <w:r>
              <w:t xml:space="preserve"> requires the total amount of any </w:t>
            </w:r>
            <w:r w:rsidRPr="005219B6">
              <w:t xml:space="preserve">compulsory student services fees charged to </w:t>
            </w:r>
            <w:r>
              <w:t xml:space="preserve">UTRGV students to </w:t>
            </w:r>
            <w:r w:rsidRPr="005219B6">
              <w:t xml:space="preserve">be reduced by $15 per semester credit hour </w:t>
            </w:r>
            <w:r>
              <w:t>beginning with</w:t>
            </w:r>
            <w:r w:rsidRPr="005219B6">
              <w:t xml:space="preserve"> the first semester in which an intercollegiate athletics fee</w:t>
            </w:r>
            <w:r>
              <w:t xml:space="preserve"> is charged. The</w:t>
            </w:r>
            <w:r w:rsidRPr="00C22B2D">
              <w:t xml:space="preserve"> </w:t>
            </w:r>
            <w:r>
              <w:t>intercollegiate athletics</w:t>
            </w:r>
            <w:r>
              <w:t xml:space="preserve"> </w:t>
            </w:r>
            <w:r w:rsidRPr="00C22B2D">
              <w:t>fee</w:t>
            </w:r>
            <w:r>
              <w:t xml:space="preserve"> may not be considered </w:t>
            </w:r>
            <w:r w:rsidRPr="005219B6">
              <w:t>in determining the maximum amount of student services fees that may be imposed</w:t>
            </w:r>
            <w:r>
              <w:t xml:space="preserve">. The bill restricts use of revenue from the intercollegiate athletics fee to </w:t>
            </w:r>
            <w:r w:rsidRPr="007C77EE">
              <w:t>financing, constructing, operating, maintaining, renovating, or improving</w:t>
            </w:r>
            <w:r w:rsidRPr="007C77EE">
              <w:t xml:space="preserve"> an athletic facility or for operating an intercollegiate athletics program at the university</w:t>
            </w:r>
            <w:r>
              <w:t xml:space="preserve">. </w:t>
            </w:r>
          </w:p>
          <w:p w14:paraId="48B32E79" w14:textId="77777777" w:rsidR="0063727A" w:rsidRDefault="0063727A" w:rsidP="00895A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D0AB492" w14:textId="14F0E797" w:rsidR="0063727A" w:rsidRDefault="000B53B1" w:rsidP="00895A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1467 repeals the following provisions of the Education Code:</w:t>
            </w:r>
          </w:p>
          <w:p w14:paraId="3EBE0BFF" w14:textId="77777777" w:rsidR="0063727A" w:rsidRDefault="000B53B1" w:rsidP="00895A8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Section</w:t>
            </w:r>
            <w:r w:rsidRPr="008C2E1D">
              <w:t xml:space="preserve"> 54.546</w:t>
            </w:r>
            <w:r>
              <w:t xml:space="preserve">; and </w:t>
            </w:r>
          </w:p>
          <w:p w14:paraId="1BDF1001" w14:textId="77777777" w:rsidR="0063727A" w:rsidRPr="009C36CD" w:rsidRDefault="000B53B1" w:rsidP="00895A8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Section 54.550.</w:t>
            </w:r>
          </w:p>
          <w:p w14:paraId="5857AAE5" w14:textId="283FF849" w:rsidR="008423E4" w:rsidRPr="00835628" w:rsidRDefault="008423E4" w:rsidP="00895A8B">
            <w:pPr>
              <w:rPr>
                <w:b/>
              </w:rPr>
            </w:pPr>
          </w:p>
        </w:tc>
      </w:tr>
      <w:tr w:rsidR="00B27899" w14:paraId="6AA0027F" w14:textId="77777777" w:rsidTr="00345119">
        <w:tc>
          <w:tcPr>
            <w:tcW w:w="9576" w:type="dxa"/>
          </w:tcPr>
          <w:p w14:paraId="6B4FEAE1" w14:textId="77777777" w:rsidR="008423E4" w:rsidRPr="00A8133F" w:rsidRDefault="000B53B1" w:rsidP="00895A8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3F2B54B" w14:textId="77777777" w:rsidR="008423E4" w:rsidRDefault="008423E4" w:rsidP="00895A8B"/>
          <w:p w14:paraId="4121EC51" w14:textId="77777777" w:rsidR="008423E4" w:rsidRPr="003624F2" w:rsidRDefault="000B53B1" w:rsidP="00895A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2021.</w:t>
            </w:r>
          </w:p>
          <w:p w14:paraId="4D73B2D2" w14:textId="77777777" w:rsidR="008423E4" w:rsidRPr="00233FDB" w:rsidRDefault="008423E4" w:rsidP="00895A8B">
            <w:pPr>
              <w:rPr>
                <w:b/>
              </w:rPr>
            </w:pPr>
          </w:p>
        </w:tc>
      </w:tr>
    </w:tbl>
    <w:p w14:paraId="178CA4AC" w14:textId="77777777" w:rsidR="008423E4" w:rsidRPr="00BE0E75" w:rsidRDefault="008423E4" w:rsidP="00895A8B">
      <w:pPr>
        <w:jc w:val="both"/>
        <w:rPr>
          <w:rFonts w:ascii="Arial" w:hAnsi="Arial"/>
          <w:sz w:val="16"/>
          <w:szCs w:val="16"/>
        </w:rPr>
      </w:pPr>
    </w:p>
    <w:p w14:paraId="0996087E" w14:textId="77777777" w:rsidR="004108C3" w:rsidRPr="008423E4" w:rsidRDefault="004108C3" w:rsidP="00895A8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92A75" w14:textId="77777777" w:rsidR="00000000" w:rsidRDefault="000B53B1">
      <w:r>
        <w:separator/>
      </w:r>
    </w:p>
  </w:endnote>
  <w:endnote w:type="continuationSeparator" w:id="0">
    <w:p w14:paraId="7547AE2F" w14:textId="77777777" w:rsidR="00000000" w:rsidRDefault="000B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80222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27899" w14:paraId="398BF653" w14:textId="77777777" w:rsidTr="009C1E9A">
      <w:trPr>
        <w:cantSplit/>
      </w:trPr>
      <w:tc>
        <w:tcPr>
          <w:tcW w:w="0" w:type="pct"/>
        </w:tcPr>
        <w:p w14:paraId="5F5FEAE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C38CE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202B80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D5B445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15A200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27899" w14:paraId="1A3753FD" w14:textId="77777777" w:rsidTr="009C1E9A">
      <w:trPr>
        <w:cantSplit/>
      </w:trPr>
      <w:tc>
        <w:tcPr>
          <w:tcW w:w="0" w:type="pct"/>
        </w:tcPr>
        <w:p w14:paraId="4975AE0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2A36278" w14:textId="77777777" w:rsidR="00EC379B" w:rsidRPr="009C1E9A" w:rsidRDefault="000B53B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25606</w:t>
          </w:r>
        </w:p>
      </w:tc>
      <w:tc>
        <w:tcPr>
          <w:tcW w:w="2453" w:type="pct"/>
        </w:tcPr>
        <w:p w14:paraId="11057A73" w14:textId="63B404A1" w:rsidR="00EC379B" w:rsidRDefault="000B53B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75737">
            <w:t>21.130.1168</w:t>
          </w:r>
          <w:r>
            <w:fldChar w:fldCharType="end"/>
          </w:r>
        </w:p>
      </w:tc>
    </w:tr>
    <w:tr w:rsidR="00B27899" w14:paraId="457A70CA" w14:textId="77777777" w:rsidTr="009C1E9A">
      <w:trPr>
        <w:cantSplit/>
      </w:trPr>
      <w:tc>
        <w:tcPr>
          <w:tcW w:w="0" w:type="pct"/>
        </w:tcPr>
        <w:p w14:paraId="579DCBF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BA62E9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1559C9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C640E0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27899" w14:paraId="632B0FC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545DE36" w14:textId="3C4A991C" w:rsidR="00EC379B" w:rsidRDefault="000B53B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95A8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646A758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608784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BDCB4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B36A4" w14:textId="77777777" w:rsidR="00000000" w:rsidRDefault="000B53B1">
      <w:r>
        <w:separator/>
      </w:r>
    </w:p>
  </w:footnote>
  <w:footnote w:type="continuationSeparator" w:id="0">
    <w:p w14:paraId="5302107C" w14:textId="77777777" w:rsidR="00000000" w:rsidRDefault="000B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0E46D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0B563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CEE0F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865B2"/>
    <w:multiLevelType w:val="hybridMultilevel"/>
    <w:tmpl w:val="34CA6FEE"/>
    <w:lvl w:ilvl="0" w:tplc="088AD0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A259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1488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AEB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D04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6039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01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25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16B8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35966"/>
    <w:multiLevelType w:val="hybridMultilevel"/>
    <w:tmpl w:val="ABD81254"/>
    <w:lvl w:ilvl="0" w:tplc="D26C3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BABF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2A0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AA1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A8A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6AD8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8C8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CBD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EE92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7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49D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3B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5106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10A4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35E01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2B93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0EA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2793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02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454B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134"/>
    <w:rsid w:val="00505C04"/>
    <w:rsid w:val="00505F1B"/>
    <w:rsid w:val="005073E8"/>
    <w:rsid w:val="00510503"/>
    <w:rsid w:val="0051324D"/>
    <w:rsid w:val="00515466"/>
    <w:rsid w:val="005154F7"/>
    <w:rsid w:val="005159DE"/>
    <w:rsid w:val="005219B6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2DB2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727A"/>
    <w:rsid w:val="006402E7"/>
    <w:rsid w:val="00640CB6"/>
    <w:rsid w:val="00641B42"/>
    <w:rsid w:val="0064281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4AF3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C77EE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5A8B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2E1D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181F"/>
    <w:rsid w:val="00902212"/>
    <w:rsid w:val="00903E0A"/>
    <w:rsid w:val="00904721"/>
    <w:rsid w:val="00907780"/>
    <w:rsid w:val="00907EDD"/>
    <w:rsid w:val="009107AD"/>
    <w:rsid w:val="00915568"/>
    <w:rsid w:val="009179E7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1C65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27899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83D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539D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2B2D"/>
    <w:rsid w:val="00C23956"/>
    <w:rsid w:val="00C248E6"/>
    <w:rsid w:val="00C2766F"/>
    <w:rsid w:val="00C311B8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47C4"/>
    <w:rsid w:val="00CF4827"/>
    <w:rsid w:val="00CF4C69"/>
    <w:rsid w:val="00CF581C"/>
    <w:rsid w:val="00CF6373"/>
    <w:rsid w:val="00CF71E0"/>
    <w:rsid w:val="00D001B1"/>
    <w:rsid w:val="00D03176"/>
    <w:rsid w:val="00D060A8"/>
    <w:rsid w:val="00D06605"/>
    <w:rsid w:val="00D06C57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4452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5737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036921-71DF-4BE0-AAF6-314BC774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372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72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727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72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727A"/>
    <w:rPr>
      <w:b/>
      <w:bCs/>
    </w:rPr>
  </w:style>
  <w:style w:type="paragraph" w:styleId="Revision">
    <w:name w:val="Revision"/>
    <w:hidden/>
    <w:uiPriority w:val="99"/>
    <w:semiHidden/>
    <w:rsid w:val="006372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3538</Characters>
  <Application>Microsoft Office Word</Application>
  <DocSecurity>4</DocSecurity>
  <Lines>80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SB01467 (Committee Report (Unamended))</vt:lpstr>
    </vt:vector>
  </TitlesOfParts>
  <Company>State of Texas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25606</dc:subject>
  <dc:creator>State of Texas</dc:creator>
  <dc:description>SB 1467 by Hinojosa-(H)Higher Education</dc:description>
  <cp:lastModifiedBy>Damian Duarte</cp:lastModifiedBy>
  <cp:revision>2</cp:revision>
  <cp:lastPrinted>2003-11-26T17:21:00Z</cp:lastPrinted>
  <dcterms:created xsi:type="dcterms:W3CDTF">2021-05-11T16:20:00Z</dcterms:created>
  <dcterms:modified xsi:type="dcterms:W3CDTF">2021-05-11T16:20:00Z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21.130.1168</vt:lpwstr>
  </property>
</Properties>
</file>