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12EA0" w14:paraId="05F83747" w14:textId="77777777" w:rsidTr="00345119">
        <w:tc>
          <w:tcPr>
            <w:tcW w:w="9576" w:type="dxa"/>
            <w:noWrap/>
          </w:tcPr>
          <w:p w14:paraId="67B0D56A" w14:textId="77777777" w:rsidR="008423E4" w:rsidRPr="0022177D" w:rsidRDefault="002451A4" w:rsidP="00745616">
            <w:pPr>
              <w:pStyle w:val="Heading1"/>
            </w:pPr>
            <w:bookmarkStart w:id="0" w:name="_GoBack"/>
            <w:bookmarkEnd w:id="0"/>
            <w:r w:rsidRPr="00631897">
              <w:t>BILL ANALYSIS</w:t>
            </w:r>
          </w:p>
        </w:tc>
      </w:tr>
    </w:tbl>
    <w:p w14:paraId="1E6D4442" w14:textId="77777777" w:rsidR="008423E4" w:rsidRPr="0022177D" w:rsidRDefault="008423E4" w:rsidP="00745616">
      <w:pPr>
        <w:jc w:val="center"/>
      </w:pPr>
    </w:p>
    <w:p w14:paraId="60E06AEC" w14:textId="77777777" w:rsidR="008423E4" w:rsidRPr="00B31F0E" w:rsidRDefault="008423E4" w:rsidP="00745616"/>
    <w:p w14:paraId="1C72BC80" w14:textId="77777777" w:rsidR="008423E4" w:rsidRPr="00742794" w:rsidRDefault="008423E4" w:rsidP="00745616">
      <w:pPr>
        <w:tabs>
          <w:tab w:val="right" w:pos="9360"/>
        </w:tabs>
      </w:pPr>
    </w:p>
    <w:tbl>
      <w:tblPr>
        <w:tblW w:w="0" w:type="auto"/>
        <w:tblLayout w:type="fixed"/>
        <w:tblLook w:val="01E0" w:firstRow="1" w:lastRow="1" w:firstColumn="1" w:lastColumn="1" w:noHBand="0" w:noVBand="0"/>
      </w:tblPr>
      <w:tblGrid>
        <w:gridCol w:w="9576"/>
      </w:tblGrid>
      <w:tr w:rsidR="00C12EA0" w14:paraId="7F50EA06" w14:textId="77777777" w:rsidTr="00345119">
        <w:tc>
          <w:tcPr>
            <w:tcW w:w="9576" w:type="dxa"/>
          </w:tcPr>
          <w:p w14:paraId="78B62907" w14:textId="77777777" w:rsidR="008423E4" w:rsidRPr="00861995" w:rsidRDefault="002451A4" w:rsidP="00745616">
            <w:pPr>
              <w:jc w:val="right"/>
            </w:pPr>
            <w:r>
              <w:t>S.B. 1521</w:t>
            </w:r>
          </w:p>
        </w:tc>
      </w:tr>
      <w:tr w:rsidR="00C12EA0" w14:paraId="4908C42D" w14:textId="77777777" w:rsidTr="00345119">
        <w:tc>
          <w:tcPr>
            <w:tcW w:w="9576" w:type="dxa"/>
          </w:tcPr>
          <w:p w14:paraId="5E2EEB61" w14:textId="77777777" w:rsidR="008423E4" w:rsidRPr="00861995" w:rsidRDefault="002451A4" w:rsidP="00745616">
            <w:pPr>
              <w:jc w:val="right"/>
            </w:pPr>
            <w:r>
              <w:t xml:space="preserve">By: </w:t>
            </w:r>
            <w:r w:rsidR="00427E77">
              <w:t>Zaffirini</w:t>
            </w:r>
          </w:p>
        </w:tc>
      </w:tr>
      <w:tr w:rsidR="00C12EA0" w14:paraId="659D4783" w14:textId="77777777" w:rsidTr="00345119">
        <w:tc>
          <w:tcPr>
            <w:tcW w:w="9576" w:type="dxa"/>
          </w:tcPr>
          <w:p w14:paraId="705AC750" w14:textId="77777777" w:rsidR="008423E4" w:rsidRPr="00861995" w:rsidRDefault="002451A4" w:rsidP="00745616">
            <w:pPr>
              <w:jc w:val="right"/>
            </w:pPr>
            <w:r>
              <w:t>Higher Education</w:t>
            </w:r>
          </w:p>
        </w:tc>
      </w:tr>
      <w:tr w:rsidR="00C12EA0" w14:paraId="2CAB3B3B" w14:textId="77777777" w:rsidTr="00345119">
        <w:tc>
          <w:tcPr>
            <w:tcW w:w="9576" w:type="dxa"/>
          </w:tcPr>
          <w:p w14:paraId="5DCD6BBE" w14:textId="77777777" w:rsidR="008423E4" w:rsidRDefault="002451A4" w:rsidP="00745616">
            <w:pPr>
              <w:jc w:val="right"/>
            </w:pPr>
            <w:r>
              <w:t>Committee Report (Unamended)</w:t>
            </w:r>
          </w:p>
        </w:tc>
      </w:tr>
    </w:tbl>
    <w:p w14:paraId="400C0CCB" w14:textId="77777777" w:rsidR="008423E4" w:rsidRDefault="008423E4" w:rsidP="00745616">
      <w:pPr>
        <w:tabs>
          <w:tab w:val="right" w:pos="9360"/>
        </w:tabs>
      </w:pPr>
    </w:p>
    <w:p w14:paraId="295390BA" w14:textId="77777777" w:rsidR="008423E4" w:rsidRDefault="008423E4" w:rsidP="00745616"/>
    <w:p w14:paraId="05E40644" w14:textId="77777777" w:rsidR="008423E4" w:rsidRDefault="008423E4" w:rsidP="00745616"/>
    <w:tbl>
      <w:tblPr>
        <w:tblW w:w="0" w:type="auto"/>
        <w:tblCellMar>
          <w:left w:w="115" w:type="dxa"/>
          <w:right w:w="115" w:type="dxa"/>
        </w:tblCellMar>
        <w:tblLook w:val="01E0" w:firstRow="1" w:lastRow="1" w:firstColumn="1" w:lastColumn="1" w:noHBand="0" w:noVBand="0"/>
      </w:tblPr>
      <w:tblGrid>
        <w:gridCol w:w="9360"/>
      </w:tblGrid>
      <w:tr w:rsidR="00C12EA0" w14:paraId="75F8CD23" w14:textId="77777777" w:rsidTr="00345119">
        <w:tc>
          <w:tcPr>
            <w:tcW w:w="9576" w:type="dxa"/>
          </w:tcPr>
          <w:p w14:paraId="17D11840" w14:textId="77777777" w:rsidR="008423E4" w:rsidRPr="00A8133F" w:rsidRDefault="002451A4" w:rsidP="00745616">
            <w:pPr>
              <w:rPr>
                <w:b/>
              </w:rPr>
            </w:pPr>
            <w:r w:rsidRPr="009C1E9A">
              <w:rPr>
                <w:b/>
                <w:u w:val="single"/>
              </w:rPr>
              <w:t>BACKGROUND AND PURPOSE</w:t>
            </w:r>
            <w:r>
              <w:rPr>
                <w:b/>
              </w:rPr>
              <w:t xml:space="preserve"> </w:t>
            </w:r>
          </w:p>
          <w:p w14:paraId="4B9C15E8" w14:textId="77777777" w:rsidR="008423E4" w:rsidRDefault="008423E4" w:rsidP="00745616"/>
          <w:p w14:paraId="3E014A23" w14:textId="1A6ADC10" w:rsidR="008423E4" w:rsidRDefault="002451A4" w:rsidP="00745616">
            <w:pPr>
              <w:pStyle w:val="Header"/>
              <w:tabs>
                <w:tab w:val="clear" w:pos="4320"/>
                <w:tab w:val="clear" w:pos="8640"/>
              </w:tabs>
              <w:jc w:val="both"/>
            </w:pPr>
            <w:r>
              <w:t>There have been calls for a</w:t>
            </w:r>
            <w:r w:rsidR="000A4A0C" w:rsidRPr="000A4A0C">
              <w:t xml:space="preserve"> comprehensive </w:t>
            </w:r>
            <w:r w:rsidR="00E60AF9">
              <w:t>study</w:t>
            </w:r>
            <w:r w:rsidR="00E60AF9" w:rsidRPr="000A4A0C">
              <w:t xml:space="preserve"> </w:t>
            </w:r>
            <w:r w:rsidR="000A4A0C" w:rsidRPr="000A4A0C">
              <w:t xml:space="preserve">to </w:t>
            </w:r>
            <w:r w:rsidR="00DC7315">
              <w:t>evaluate</w:t>
            </w:r>
            <w:r w:rsidR="00E60AF9">
              <w:t xml:space="preserve"> </w:t>
            </w:r>
            <w:r w:rsidR="000A4A0C" w:rsidRPr="000A4A0C">
              <w:t>the general capacities</w:t>
            </w:r>
            <w:r w:rsidR="003C1CCC">
              <w:t xml:space="preserve"> </w:t>
            </w:r>
            <w:r w:rsidR="000A4A0C" w:rsidRPr="000A4A0C">
              <w:t>of Texas colleges and universities</w:t>
            </w:r>
            <w:r w:rsidR="003C1CCC">
              <w:t xml:space="preserve"> to </w:t>
            </w:r>
            <w:r w:rsidR="007B7A19">
              <w:t>provide</w:t>
            </w:r>
            <w:r w:rsidR="003C1CCC">
              <w:t xml:space="preserve"> mental health </w:t>
            </w:r>
            <w:r w:rsidR="007B7A19">
              <w:t>services to students</w:t>
            </w:r>
            <w:r w:rsidR="000A4A0C" w:rsidRPr="000A4A0C">
              <w:t xml:space="preserve">, </w:t>
            </w:r>
            <w:r>
              <w:t>including</w:t>
            </w:r>
            <w:r w:rsidR="000A4A0C" w:rsidRPr="000A4A0C">
              <w:t xml:space="preserve"> the ability of these institutions to meet specific needs of students at higher risk for mental health crises.</w:t>
            </w:r>
            <w:r w:rsidR="000A4A0C">
              <w:t xml:space="preserve"> </w:t>
            </w:r>
            <w:r>
              <w:t>S.B.</w:t>
            </w:r>
            <w:r w:rsidR="008D4486">
              <w:t> </w:t>
            </w:r>
            <w:r>
              <w:t>1521 seeks to heed these calls by providing for the creation of a mental health</w:t>
            </w:r>
            <w:r w:rsidR="000A4A0C" w:rsidRPr="000A4A0C">
              <w:t xml:space="preserve"> task force to research the capacity of institutions of higher education </w:t>
            </w:r>
            <w:r>
              <w:t xml:space="preserve">in Texas </w:t>
            </w:r>
            <w:r w:rsidR="000A4A0C" w:rsidRPr="000A4A0C">
              <w:t>to identify and address the mental health needs of students, identify barriers that directly impact student mental health and well</w:t>
            </w:r>
            <w:r w:rsidR="00B32892">
              <w:t>-</w:t>
            </w:r>
            <w:r w:rsidR="000A4A0C" w:rsidRPr="000A4A0C">
              <w:t>being, and explore innovative and effective approaches to meeting student mental health needs.</w:t>
            </w:r>
          </w:p>
          <w:p w14:paraId="5285E6EC" w14:textId="77777777" w:rsidR="008423E4" w:rsidRPr="00E26B13" w:rsidRDefault="008423E4" w:rsidP="00745616">
            <w:pPr>
              <w:rPr>
                <w:b/>
              </w:rPr>
            </w:pPr>
          </w:p>
        </w:tc>
      </w:tr>
      <w:tr w:rsidR="00C12EA0" w14:paraId="765187D8" w14:textId="77777777" w:rsidTr="00345119">
        <w:tc>
          <w:tcPr>
            <w:tcW w:w="9576" w:type="dxa"/>
          </w:tcPr>
          <w:p w14:paraId="64E2BD03" w14:textId="77777777" w:rsidR="0017725B" w:rsidRDefault="002451A4" w:rsidP="00745616">
            <w:pPr>
              <w:rPr>
                <w:b/>
                <w:u w:val="single"/>
              </w:rPr>
            </w:pPr>
            <w:r>
              <w:rPr>
                <w:b/>
                <w:u w:val="single"/>
              </w:rPr>
              <w:t>CRIMINAL JUSTICE IMPACT</w:t>
            </w:r>
          </w:p>
          <w:p w14:paraId="6979FB52" w14:textId="77777777" w:rsidR="0017725B" w:rsidRDefault="0017725B" w:rsidP="00745616">
            <w:pPr>
              <w:rPr>
                <w:b/>
                <w:u w:val="single"/>
              </w:rPr>
            </w:pPr>
          </w:p>
          <w:p w14:paraId="07AB73D3" w14:textId="77777777" w:rsidR="000A4A0C" w:rsidRPr="000A4A0C" w:rsidRDefault="002451A4" w:rsidP="00745616">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14:paraId="578722DE" w14:textId="77777777" w:rsidR="0017725B" w:rsidRPr="0017725B" w:rsidRDefault="0017725B" w:rsidP="00745616">
            <w:pPr>
              <w:rPr>
                <w:b/>
                <w:u w:val="single"/>
              </w:rPr>
            </w:pPr>
          </w:p>
        </w:tc>
      </w:tr>
      <w:tr w:rsidR="00C12EA0" w14:paraId="5A6A30C0" w14:textId="77777777" w:rsidTr="00345119">
        <w:tc>
          <w:tcPr>
            <w:tcW w:w="9576" w:type="dxa"/>
          </w:tcPr>
          <w:p w14:paraId="30D56A92" w14:textId="77777777" w:rsidR="008423E4" w:rsidRPr="00A8133F" w:rsidRDefault="002451A4" w:rsidP="00745616">
            <w:pPr>
              <w:rPr>
                <w:b/>
              </w:rPr>
            </w:pPr>
            <w:r w:rsidRPr="009C1E9A">
              <w:rPr>
                <w:b/>
                <w:u w:val="single"/>
              </w:rPr>
              <w:t>RULEMAKING AUTHORITY</w:t>
            </w:r>
            <w:r>
              <w:rPr>
                <w:b/>
              </w:rPr>
              <w:t xml:space="preserve"> </w:t>
            </w:r>
          </w:p>
          <w:p w14:paraId="06663BAF" w14:textId="77777777" w:rsidR="008423E4" w:rsidRDefault="008423E4" w:rsidP="00745616"/>
          <w:p w14:paraId="1B0C577B" w14:textId="77777777" w:rsidR="000A4A0C" w:rsidRDefault="002451A4" w:rsidP="00745616">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14:paraId="4384D849" w14:textId="77777777" w:rsidR="008423E4" w:rsidRPr="00E21FDC" w:rsidRDefault="008423E4" w:rsidP="00745616">
            <w:pPr>
              <w:rPr>
                <w:b/>
              </w:rPr>
            </w:pPr>
          </w:p>
        </w:tc>
      </w:tr>
      <w:tr w:rsidR="00C12EA0" w14:paraId="120A26D9" w14:textId="77777777" w:rsidTr="00345119">
        <w:tc>
          <w:tcPr>
            <w:tcW w:w="9576" w:type="dxa"/>
          </w:tcPr>
          <w:p w14:paraId="36DD137C" w14:textId="77777777" w:rsidR="008423E4" w:rsidRPr="00A8133F" w:rsidRDefault="002451A4" w:rsidP="00745616">
            <w:pPr>
              <w:rPr>
                <w:b/>
              </w:rPr>
            </w:pPr>
            <w:r w:rsidRPr="009C1E9A">
              <w:rPr>
                <w:b/>
                <w:u w:val="single"/>
              </w:rPr>
              <w:t>ANALYSIS</w:t>
            </w:r>
            <w:r>
              <w:rPr>
                <w:b/>
              </w:rPr>
              <w:t xml:space="preserve"> </w:t>
            </w:r>
          </w:p>
          <w:p w14:paraId="5A415ECD" w14:textId="77777777" w:rsidR="008423E4" w:rsidRDefault="008423E4" w:rsidP="00745616"/>
          <w:p w14:paraId="264922A5" w14:textId="68AD55AF" w:rsidR="00E14554" w:rsidRDefault="002451A4" w:rsidP="00745616">
            <w:pPr>
              <w:pStyle w:val="Header"/>
              <w:tabs>
                <w:tab w:val="clear" w:pos="4320"/>
                <w:tab w:val="clear" w:pos="8640"/>
              </w:tabs>
              <w:jc w:val="both"/>
            </w:pPr>
            <w:r>
              <w:t>S.B. 1521 amends the Education Code to establish the Collaborative Task Force on Higher Education Mental Health Services to study and evaluate</w:t>
            </w:r>
            <w:r w:rsidRPr="000A4A0C">
              <w:t xml:space="preserve"> mental health services provided at </w:t>
            </w:r>
            <w:r w:rsidR="003C1CCC">
              <w:t xml:space="preserve">public </w:t>
            </w:r>
            <w:r w:rsidRPr="000A4A0C">
              <w:t xml:space="preserve">institutions of higher education directly </w:t>
            </w:r>
            <w:r w:rsidRPr="000A4A0C">
              <w:t>to students enrolled at the institution</w:t>
            </w:r>
            <w:r w:rsidR="00D74FAE">
              <w:t>. The</w:t>
            </w:r>
            <w:r w:rsidR="0034750D">
              <w:t xml:space="preserve"> bill </w:t>
            </w:r>
            <w:r w:rsidR="00B32892">
              <w:t>provides for</w:t>
            </w:r>
            <w:r w:rsidR="0034750D">
              <w:t xml:space="preserve"> the composition</w:t>
            </w:r>
            <w:r w:rsidR="00711D40">
              <w:t>,</w:t>
            </w:r>
            <w:r w:rsidR="0034750D">
              <w:t xml:space="preserve"> </w:t>
            </w:r>
            <w:r w:rsidR="008E7C45">
              <w:t>administration</w:t>
            </w:r>
            <w:r w:rsidR="00711D40">
              <w:t>,</w:t>
            </w:r>
            <w:r w:rsidR="008E7C45">
              <w:t xml:space="preserve"> and operation</w:t>
            </w:r>
            <w:r w:rsidR="00711D40">
              <w:t xml:space="preserve"> of the task force</w:t>
            </w:r>
            <w:r>
              <w:t>,</w:t>
            </w:r>
            <w:r w:rsidR="008E7C45">
              <w:t xml:space="preserve"> </w:t>
            </w:r>
            <w:r w:rsidR="00261A8C">
              <w:t xml:space="preserve">including meetings, </w:t>
            </w:r>
            <w:r w:rsidR="008E7C45">
              <w:t>exempts the task force from Government Code provisions governing state agency advisory committees</w:t>
            </w:r>
            <w:r>
              <w:t>, and esta</w:t>
            </w:r>
            <w:r>
              <w:t>blishes that task force members are not entitled to compensation or reimbursement for their service</w:t>
            </w:r>
            <w:r w:rsidR="008E7C45">
              <w:t xml:space="preserve">. </w:t>
            </w:r>
          </w:p>
          <w:p w14:paraId="54BF06C2" w14:textId="77777777" w:rsidR="00E14554" w:rsidRDefault="00E14554" w:rsidP="00745616">
            <w:pPr>
              <w:pStyle w:val="Header"/>
              <w:tabs>
                <w:tab w:val="clear" w:pos="4320"/>
                <w:tab w:val="clear" w:pos="8640"/>
              </w:tabs>
              <w:jc w:val="both"/>
            </w:pPr>
          </w:p>
          <w:p w14:paraId="18DEC7C0" w14:textId="5CBCFC47" w:rsidR="009C36CD" w:rsidRDefault="002451A4" w:rsidP="00745616">
            <w:pPr>
              <w:pStyle w:val="Header"/>
              <w:tabs>
                <w:tab w:val="clear" w:pos="4320"/>
                <w:tab w:val="clear" w:pos="8640"/>
              </w:tabs>
              <w:jc w:val="both"/>
            </w:pPr>
            <w:r>
              <w:t>S.B. 1521</w:t>
            </w:r>
            <w:r w:rsidR="008E7C45">
              <w:t xml:space="preserve"> requires the task force to</w:t>
            </w:r>
            <w:r w:rsidR="003D0FEA">
              <w:t xml:space="preserve"> do the following</w:t>
            </w:r>
            <w:r w:rsidR="008E7C45">
              <w:t>:</w:t>
            </w:r>
          </w:p>
          <w:p w14:paraId="7DB32220" w14:textId="35E213DE" w:rsidR="008E7C45" w:rsidRDefault="002451A4" w:rsidP="00745616">
            <w:pPr>
              <w:pStyle w:val="Header"/>
              <w:numPr>
                <w:ilvl w:val="0"/>
                <w:numId w:val="1"/>
              </w:numPr>
              <w:jc w:val="both"/>
            </w:pPr>
            <w:r>
              <w:t>research the capacity of institutions of higher education to identify and address the mental healt</w:t>
            </w:r>
            <w:r>
              <w:t>h needs of students</w:t>
            </w:r>
            <w:r w:rsidR="00B32892">
              <w:t xml:space="preserve">, including specified </w:t>
            </w:r>
            <w:r w:rsidR="00731006">
              <w:t>analysis, data, information, and assessment for each institution</w:t>
            </w:r>
            <w:r>
              <w:t>;</w:t>
            </w:r>
          </w:p>
          <w:p w14:paraId="5C311917" w14:textId="77777777" w:rsidR="008E7C45" w:rsidRDefault="002451A4" w:rsidP="00745616">
            <w:pPr>
              <w:pStyle w:val="Header"/>
              <w:numPr>
                <w:ilvl w:val="0"/>
                <w:numId w:val="1"/>
              </w:numPr>
              <w:jc w:val="both"/>
            </w:pPr>
            <w:r>
              <w:t>identify institutional, environmental, and social barriers that directly impact student mental health and well-being; and</w:t>
            </w:r>
          </w:p>
          <w:p w14:paraId="15509F07" w14:textId="01C5431E" w:rsidR="008E7C45" w:rsidRDefault="002451A4" w:rsidP="00745616">
            <w:pPr>
              <w:pStyle w:val="Header"/>
              <w:numPr>
                <w:ilvl w:val="0"/>
                <w:numId w:val="1"/>
              </w:numPr>
              <w:jc w:val="both"/>
            </w:pPr>
            <w:r>
              <w:t>explore innovative and effe</w:t>
            </w:r>
            <w:r>
              <w:t xml:space="preserve">ctive approaches to meeting the mental health needs of students, with specific focus on first generation college students, students of color, economically disadvantaged students, students who are parents, students of various sexual orientations, survivors </w:t>
            </w:r>
            <w:r>
              <w:t>of sexual assault, students who are immigrants, students who are or were previously in the conservatorship of the Department of Family and Protective Services, and students from rural communitie</w:t>
            </w:r>
            <w:r w:rsidR="00731006">
              <w:t>s</w:t>
            </w:r>
            <w:r>
              <w:t>.</w:t>
            </w:r>
          </w:p>
          <w:p w14:paraId="50F1820B" w14:textId="6F6E8E57" w:rsidR="00135D37" w:rsidRDefault="002451A4" w:rsidP="00745616">
            <w:pPr>
              <w:pStyle w:val="Header"/>
              <w:tabs>
                <w:tab w:val="clear" w:pos="4320"/>
                <w:tab w:val="clear" w:pos="8640"/>
              </w:tabs>
              <w:jc w:val="both"/>
            </w:pPr>
            <w:r>
              <w:t xml:space="preserve">The bill lists specified approaches to be explored. </w:t>
            </w:r>
          </w:p>
          <w:p w14:paraId="368FA60F" w14:textId="77777777" w:rsidR="00037B18" w:rsidRDefault="00037B18" w:rsidP="00745616">
            <w:pPr>
              <w:pStyle w:val="Header"/>
              <w:tabs>
                <w:tab w:val="clear" w:pos="4320"/>
                <w:tab w:val="clear" w:pos="8640"/>
              </w:tabs>
              <w:jc w:val="both"/>
            </w:pPr>
          </w:p>
          <w:p w14:paraId="39467C3D" w14:textId="77777777" w:rsidR="00037B18" w:rsidRDefault="002451A4" w:rsidP="00745616">
            <w:pPr>
              <w:pStyle w:val="Header"/>
              <w:tabs>
                <w:tab w:val="clear" w:pos="4320"/>
                <w:tab w:val="clear" w:pos="8640"/>
              </w:tabs>
              <w:jc w:val="both"/>
            </w:pPr>
            <w:r>
              <w:t xml:space="preserve">S.B. </w:t>
            </w:r>
            <w:r>
              <w:t>1521 requires the commissioner of higher education to do the following:</w:t>
            </w:r>
          </w:p>
          <w:p w14:paraId="27D8E3EE" w14:textId="382E0315" w:rsidR="00037B18" w:rsidRDefault="002451A4" w:rsidP="00745616">
            <w:pPr>
              <w:pStyle w:val="Header"/>
              <w:numPr>
                <w:ilvl w:val="0"/>
                <w:numId w:val="3"/>
              </w:numPr>
              <w:tabs>
                <w:tab w:val="clear" w:pos="4320"/>
                <w:tab w:val="clear" w:pos="8640"/>
              </w:tabs>
              <w:jc w:val="both"/>
            </w:pPr>
            <w:r>
              <w:t>designate one institution of higher education with experience in evaluating mental</w:t>
            </w:r>
            <w:r w:rsidRPr="008A5A26">
              <w:t xml:space="preserve"> health services to serve as the lead institution for the task force</w:t>
            </w:r>
            <w:r w:rsidR="00711D40">
              <w:t xml:space="preserve"> </w:t>
            </w:r>
            <w:r>
              <w:t>th</w:t>
            </w:r>
            <w:r w:rsidR="00711D40">
              <w:t>at</w:t>
            </w:r>
            <w:r>
              <w:t xml:space="preserve"> must </w:t>
            </w:r>
            <w:r w:rsidRPr="008A5A26">
              <w:t>provide faculty, staff,</w:t>
            </w:r>
            <w:r w:rsidRPr="008A5A26">
              <w:t xml:space="preserve"> and administrative support services to the task force as determined necessary by the task force</w:t>
            </w:r>
            <w:r>
              <w:t>;</w:t>
            </w:r>
          </w:p>
          <w:p w14:paraId="28214E9D" w14:textId="63BEB0AB" w:rsidR="00037B18" w:rsidRDefault="002451A4" w:rsidP="00745616">
            <w:pPr>
              <w:pStyle w:val="Header"/>
              <w:numPr>
                <w:ilvl w:val="0"/>
                <w:numId w:val="3"/>
              </w:numPr>
              <w:tabs>
                <w:tab w:val="clear" w:pos="4320"/>
                <w:tab w:val="clear" w:pos="8640"/>
              </w:tabs>
              <w:jc w:val="both"/>
            </w:pPr>
            <w:r w:rsidRPr="008A5A26">
              <w:t>designate two institutions of higher education with experience in evaluating mental health services to assist the task force and the lead institution</w:t>
            </w:r>
            <w:r>
              <w:t xml:space="preserve">; and </w:t>
            </w:r>
          </w:p>
          <w:p w14:paraId="5C16CA2B" w14:textId="47E68DDF" w:rsidR="00135D37" w:rsidRDefault="002451A4" w:rsidP="00745616">
            <w:pPr>
              <w:pStyle w:val="Header"/>
              <w:numPr>
                <w:ilvl w:val="0"/>
                <w:numId w:val="3"/>
              </w:numPr>
              <w:tabs>
                <w:tab w:val="clear" w:pos="4320"/>
                <w:tab w:val="clear" w:pos="8640"/>
              </w:tabs>
              <w:jc w:val="both"/>
            </w:pPr>
            <w:r>
              <w:t>i</w:t>
            </w:r>
            <w:r w:rsidR="008A5A26">
              <w:t>n making these designations</w:t>
            </w:r>
            <w:r w:rsidR="00037B18">
              <w:t>,</w:t>
            </w:r>
            <w:r>
              <w:t xml:space="preserve"> to</w:t>
            </w:r>
            <w:r w:rsidR="008A5A26">
              <w:t xml:space="preserve"> give preference to at least one predominately</w:t>
            </w:r>
            <w:r w:rsidR="0085107E">
              <w:t xml:space="preserve"> black institution, as defined by federal law.</w:t>
            </w:r>
            <w:r w:rsidR="008A5A26">
              <w:t xml:space="preserve"> </w:t>
            </w:r>
          </w:p>
          <w:p w14:paraId="7156BC38" w14:textId="77777777" w:rsidR="0085107E" w:rsidRDefault="0085107E" w:rsidP="00745616">
            <w:pPr>
              <w:pStyle w:val="Header"/>
              <w:tabs>
                <w:tab w:val="clear" w:pos="4320"/>
                <w:tab w:val="clear" w:pos="8640"/>
              </w:tabs>
              <w:jc w:val="both"/>
            </w:pPr>
          </w:p>
          <w:p w14:paraId="4E6166B8" w14:textId="70BDDE8D" w:rsidR="0085107E" w:rsidRDefault="002451A4" w:rsidP="00745616">
            <w:pPr>
              <w:pStyle w:val="Header"/>
              <w:tabs>
                <w:tab w:val="clear" w:pos="4320"/>
                <w:tab w:val="clear" w:pos="8640"/>
              </w:tabs>
              <w:jc w:val="both"/>
            </w:pPr>
            <w:r>
              <w:t>S.B. 1521 requires the Texas Higher Education Coordinating Board (THECB) to maintain the data collected by the task force and the w</w:t>
            </w:r>
            <w:r>
              <w:t>ork product of the task force. The bill requires the task force to ensure that data gathered, information studied, and evaluations conducted</w:t>
            </w:r>
            <w:r w:rsidR="00531073">
              <w:t xml:space="preserve"> </w:t>
            </w:r>
            <w:r>
              <w:t>are collected and maintained in compliance with federal law regarding confidentiality of student medical or educati</w:t>
            </w:r>
            <w:r>
              <w:t>onal information</w:t>
            </w:r>
            <w:r w:rsidR="00261A8C">
              <w:t>, including HIPAA,</w:t>
            </w:r>
            <w:r w:rsidR="00286C73">
              <w:t xml:space="preserve"> and any state law relating to the privacy of student or health information</w:t>
            </w:r>
            <w:r w:rsidR="00531073">
              <w:t xml:space="preserve">. The bill </w:t>
            </w:r>
            <w:r w:rsidR="00261A8C">
              <w:t xml:space="preserve">requires the task force to ensure that </w:t>
            </w:r>
            <w:r w:rsidR="00531073">
              <w:t xml:space="preserve">the data, information, and evaluations </w:t>
            </w:r>
            <w:r w:rsidR="00261A8C">
              <w:t xml:space="preserve">may not be </w:t>
            </w:r>
            <w:r>
              <w:t>shared with a federal agency or state agency, e</w:t>
            </w:r>
            <w:r>
              <w:t>xcept as otherwise provided by law.</w:t>
            </w:r>
          </w:p>
          <w:p w14:paraId="09AE8B9F" w14:textId="77777777" w:rsidR="00D80CF3" w:rsidRDefault="00D80CF3" w:rsidP="00745616">
            <w:pPr>
              <w:pStyle w:val="Header"/>
              <w:tabs>
                <w:tab w:val="clear" w:pos="4320"/>
                <w:tab w:val="clear" w:pos="8640"/>
              </w:tabs>
              <w:jc w:val="both"/>
            </w:pPr>
          </w:p>
          <w:p w14:paraId="082F0006" w14:textId="2D03AA7A" w:rsidR="00D80CF3" w:rsidRPr="009C36CD" w:rsidRDefault="002451A4" w:rsidP="00745616">
            <w:pPr>
              <w:pStyle w:val="Header"/>
              <w:tabs>
                <w:tab w:val="clear" w:pos="4320"/>
                <w:tab w:val="clear" w:pos="8640"/>
              </w:tabs>
              <w:jc w:val="both"/>
            </w:pPr>
            <w:r>
              <w:t>S.B. 1521 authorizes the THECB to accept gifts, grants, or donations on behalf of the task force to carry out the task force's duties. The bill requires the task force, not later than December</w:t>
            </w:r>
            <w:r w:rsidR="00E35F2B">
              <w:t> </w:t>
            </w:r>
            <w:r>
              <w:t>1,</w:t>
            </w:r>
            <w:r w:rsidR="00E35F2B">
              <w:t> </w:t>
            </w:r>
            <w:r>
              <w:t xml:space="preserve">2024, to </w:t>
            </w:r>
            <w:r w:rsidRPr="00D80CF3">
              <w:t xml:space="preserve">submit to the </w:t>
            </w:r>
            <w:r w:rsidRPr="00D80CF3">
              <w:t xml:space="preserve">governor, the lieutenant governor, the speaker of the house of representatives, and the </w:t>
            </w:r>
            <w:r>
              <w:t xml:space="preserve">THECB </w:t>
            </w:r>
            <w:r w:rsidRPr="00D80CF3">
              <w:t>a report of the results of the task force's activities and any recommendations for legislative or other action.</w:t>
            </w:r>
            <w:r>
              <w:t xml:space="preserve"> The bill abolishes the task force and sets the bil</w:t>
            </w:r>
            <w:r>
              <w:t>l's provisions to expire</w:t>
            </w:r>
            <w:r w:rsidR="00286C73">
              <w:t xml:space="preserve"> on</w:t>
            </w:r>
            <w:r>
              <w:t xml:space="preserve"> September 1, 2025.  </w:t>
            </w:r>
          </w:p>
          <w:p w14:paraId="0E208E92" w14:textId="77777777" w:rsidR="008423E4" w:rsidRPr="00835628" w:rsidRDefault="008423E4" w:rsidP="00745616">
            <w:pPr>
              <w:rPr>
                <w:b/>
              </w:rPr>
            </w:pPr>
          </w:p>
        </w:tc>
      </w:tr>
      <w:tr w:rsidR="00C12EA0" w14:paraId="162372CC" w14:textId="77777777" w:rsidTr="00345119">
        <w:tc>
          <w:tcPr>
            <w:tcW w:w="9576" w:type="dxa"/>
          </w:tcPr>
          <w:p w14:paraId="2A8101F7" w14:textId="77777777" w:rsidR="008423E4" w:rsidRPr="00A8133F" w:rsidRDefault="002451A4" w:rsidP="00745616">
            <w:pPr>
              <w:rPr>
                <w:b/>
              </w:rPr>
            </w:pPr>
            <w:r w:rsidRPr="009C1E9A">
              <w:rPr>
                <w:b/>
                <w:u w:val="single"/>
              </w:rPr>
              <w:t>EFFECTIVE DATE</w:t>
            </w:r>
            <w:r>
              <w:rPr>
                <w:b/>
              </w:rPr>
              <w:t xml:space="preserve"> </w:t>
            </w:r>
          </w:p>
          <w:p w14:paraId="32351DE0" w14:textId="77777777" w:rsidR="008423E4" w:rsidRDefault="008423E4" w:rsidP="00745616"/>
          <w:p w14:paraId="3AC7D63E" w14:textId="38DA53E9" w:rsidR="008423E4" w:rsidRPr="003624F2" w:rsidRDefault="002451A4" w:rsidP="00745616">
            <w:pPr>
              <w:pStyle w:val="Header"/>
              <w:tabs>
                <w:tab w:val="clear" w:pos="4320"/>
                <w:tab w:val="clear" w:pos="8640"/>
              </w:tabs>
              <w:jc w:val="both"/>
            </w:pPr>
            <w:r>
              <w:t>September 1, 2021.</w:t>
            </w:r>
          </w:p>
          <w:p w14:paraId="1F72E763" w14:textId="77777777" w:rsidR="008423E4" w:rsidRPr="00233FDB" w:rsidRDefault="008423E4" w:rsidP="00745616">
            <w:pPr>
              <w:rPr>
                <w:b/>
              </w:rPr>
            </w:pPr>
          </w:p>
        </w:tc>
      </w:tr>
    </w:tbl>
    <w:p w14:paraId="68F7A791" w14:textId="77777777" w:rsidR="008423E4" w:rsidRPr="00BE0E75" w:rsidRDefault="008423E4" w:rsidP="00745616">
      <w:pPr>
        <w:jc w:val="both"/>
        <w:rPr>
          <w:rFonts w:ascii="Arial" w:hAnsi="Arial"/>
          <w:sz w:val="16"/>
          <w:szCs w:val="16"/>
        </w:rPr>
      </w:pPr>
    </w:p>
    <w:p w14:paraId="7FE44D00" w14:textId="77777777" w:rsidR="004108C3" w:rsidRPr="008423E4" w:rsidRDefault="004108C3" w:rsidP="0074561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46630" w14:textId="77777777" w:rsidR="00000000" w:rsidRDefault="002451A4">
      <w:r>
        <w:separator/>
      </w:r>
    </w:p>
  </w:endnote>
  <w:endnote w:type="continuationSeparator" w:id="0">
    <w:p w14:paraId="55025004" w14:textId="77777777" w:rsidR="00000000" w:rsidRDefault="0024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DE607"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12EA0" w14:paraId="22C318F8" w14:textId="77777777" w:rsidTr="009C1E9A">
      <w:trPr>
        <w:cantSplit/>
      </w:trPr>
      <w:tc>
        <w:tcPr>
          <w:tcW w:w="0" w:type="pct"/>
        </w:tcPr>
        <w:p w14:paraId="38F8153D" w14:textId="77777777" w:rsidR="00137D90" w:rsidRDefault="00137D90" w:rsidP="009C1E9A">
          <w:pPr>
            <w:pStyle w:val="Footer"/>
            <w:tabs>
              <w:tab w:val="clear" w:pos="8640"/>
              <w:tab w:val="right" w:pos="9360"/>
            </w:tabs>
          </w:pPr>
        </w:p>
      </w:tc>
      <w:tc>
        <w:tcPr>
          <w:tcW w:w="2395" w:type="pct"/>
        </w:tcPr>
        <w:p w14:paraId="20539243" w14:textId="77777777" w:rsidR="00137D90" w:rsidRDefault="00137D90" w:rsidP="009C1E9A">
          <w:pPr>
            <w:pStyle w:val="Footer"/>
            <w:tabs>
              <w:tab w:val="clear" w:pos="8640"/>
              <w:tab w:val="right" w:pos="9360"/>
            </w:tabs>
          </w:pPr>
        </w:p>
        <w:p w14:paraId="411EEAA8" w14:textId="77777777" w:rsidR="001A4310" w:rsidRDefault="001A4310" w:rsidP="009C1E9A">
          <w:pPr>
            <w:pStyle w:val="Footer"/>
            <w:tabs>
              <w:tab w:val="clear" w:pos="8640"/>
              <w:tab w:val="right" w:pos="9360"/>
            </w:tabs>
          </w:pPr>
        </w:p>
        <w:p w14:paraId="5A1D1276" w14:textId="77777777" w:rsidR="00137D90" w:rsidRDefault="00137D90" w:rsidP="009C1E9A">
          <w:pPr>
            <w:pStyle w:val="Footer"/>
            <w:tabs>
              <w:tab w:val="clear" w:pos="8640"/>
              <w:tab w:val="right" w:pos="9360"/>
            </w:tabs>
          </w:pPr>
        </w:p>
      </w:tc>
      <w:tc>
        <w:tcPr>
          <w:tcW w:w="2453" w:type="pct"/>
        </w:tcPr>
        <w:p w14:paraId="285A1422" w14:textId="77777777" w:rsidR="00137D90" w:rsidRDefault="00137D90" w:rsidP="009C1E9A">
          <w:pPr>
            <w:pStyle w:val="Footer"/>
            <w:tabs>
              <w:tab w:val="clear" w:pos="8640"/>
              <w:tab w:val="right" w:pos="9360"/>
            </w:tabs>
            <w:jc w:val="right"/>
          </w:pPr>
        </w:p>
      </w:tc>
    </w:tr>
    <w:tr w:rsidR="00C12EA0" w14:paraId="6A1929CB" w14:textId="77777777" w:rsidTr="009C1E9A">
      <w:trPr>
        <w:cantSplit/>
      </w:trPr>
      <w:tc>
        <w:tcPr>
          <w:tcW w:w="0" w:type="pct"/>
        </w:tcPr>
        <w:p w14:paraId="31A1B9E9" w14:textId="77777777" w:rsidR="00EC379B" w:rsidRDefault="00EC379B" w:rsidP="009C1E9A">
          <w:pPr>
            <w:pStyle w:val="Footer"/>
            <w:tabs>
              <w:tab w:val="clear" w:pos="8640"/>
              <w:tab w:val="right" w:pos="9360"/>
            </w:tabs>
          </w:pPr>
        </w:p>
      </w:tc>
      <w:tc>
        <w:tcPr>
          <w:tcW w:w="2395" w:type="pct"/>
        </w:tcPr>
        <w:p w14:paraId="2465F4FD" w14:textId="77777777" w:rsidR="00EC379B" w:rsidRPr="009C1E9A" w:rsidRDefault="002451A4" w:rsidP="009C1E9A">
          <w:pPr>
            <w:pStyle w:val="Footer"/>
            <w:tabs>
              <w:tab w:val="clear" w:pos="8640"/>
              <w:tab w:val="right" w:pos="9360"/>
            </w:tabs>
            <w:rPr>
              <w:rFonts w:ascii="Shruti" w:hAnsi="Shruti"/>
              <w:sz w:val="22"/>
            </w:rPr>
          </w:pPr>
          <w:r>
            <w:rPr>
              <w:rFonts w:ascii="Shruti" w:hAnsi="Shruti"/>
              <w:sz w:val="22"/>
            </w:rPr>
            <w:t>87R 26965</w:t>
          </w:r>
        </w:p>
      </w:tc>
      <w:tc>
        <w:tcPr>
          <w:tcW w:w="2453" w:type="pct"/>
        </w:tcPr>
        <w:p w14:paraId="7674637A" w14:textId="0E13263E" w:rsidR="00EC379B" w:rsidRDefault="002451A4" w:rsidP="009C1E9A">
          <w:pPr>
            <w:pStyle w:val="Footer"/>
            <w:tabs>
              <w:tab w:val="clear" w:pos="8640"/>
              <w:tab w:val="right" w:pos="9360"/>
            </w:tabs>
            <w:jc w:val="right"/>
          </w:pPr>
          <w:r>
            <w:fldChar w:fldCharType="begin"/>
          </w:r>
          <w:r>
            <w:instrText xml:space="preserve"> DOCPROPERTY  OTID  \* MERGEFORMAT </w:instrText>
          </w:r>
          <w:r>
            <w:fldChar w:fldCharType="separate"/>
          </w:r>
          <w:r w:rsidR="00745616">
            <w:t>21.134.1283</w:t>
          </w:r>
          <w:r>
            <w:fldChar w:fldCharType="end"/>
          </w:r>
        </w:p>
      </w:tc>
    </w:tr>
    <w:tr w:rsidR="00C12EA0" w14:paraId="573F38B6" w14:textId="77777777" w:rsidTr="009C1E9A">
      <w:trPr>
        <w:cantSplit/>
      </w:trPr>
      <w:tc>
        <w:tcPr>
          <w:tcW w:w="0" w:type="pct"/>
        </w:tcPr>
        <w:p w14:paraId="62652EEE" w14:textId="77777777" w:rsidR="00EC379B" w:rsidRDefault="00EC379B" w:rsidP="009C1E9A">
          <w:pPr>
            <w:pStyle w:val="Footer"/>
            <w:tabs>
              <w:tab w:val="clear" w:pos="4320"/>
              <w:tab w:val="clear" w:pos="8640"/>
              <w:tab w:val="left" w:pos="2865"/>
            </w:tabs>
          </w:pPr>
        </w:p>
      </w:tc>
      <w:tc>
        <w:tcPr>
          <w:tcW w:w="2395" w:type="pct"/>
        </w:tcPr>
        <w:p w14:paraId="5EC646A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791B84D" w14:textId="77777777" w:rsidR="00EC379B" w:rsidRDefault="00EC379B" w:rsidP="006D504F">
          <w:pPr>
            <w:pStyle w:val="Footer"/>
            <w:rPr>
              <w:rStyle w:val="PageNumber"/>
            </w:rPr>
          </w:pPr>
        </w:p>
        <w:p w14:paraId="2C586C4B" w14:textId="77777777" w:rsidR="00EC379B" w:rsidRDefault="00EC379B" w:rsidP="009C1E9A">
          <w:pPr>
            <w:pStyle w:val="Footer"/>
            <w:tabs>
              <w:tab w:val="clear" w:pos="8640"/>
              <w:tab w:val="right" w:pos="9360"/>
            </w:tabs>
            <w:jc w:val="right"/>
          </w:pPr>
        </w:p>
      </w:tc>
    </w:tr>
    <w:tr w:rsidR="00C12EA0" w14:paraId="7D86C3A7" w14:textId="77777777" w:rsidTr="009C1E9A">
      <w:trPr>
        <w:cantSplit/>
        <w:trHeight w:val="323"/>
      </w:trPr>
      <w:tc>
        <w:tcPr>
          <w:tcW w:w="0" w:type="pct"/>
          <w:gridSpan w:val="3"/>
        </w:tcPr>
        <w:p w14:paraId="2F6F7230" w14:textId="49B48EAC" w:rsidR="00EC379B" w:rsidRDefault="002451A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45616">
            <w:rPr>
              <w:rStyle w:val="PageNumber"/>
              <w:noProof/>
            </w:rPr>
            <w:t>1</w:t>
          </w:r>
          <w:r>
            <w:rPr>
              <w:rStyle w:val="PageNumber"/>
            </w:rPr>
            <w:fldChar w:fldCharType="end"/>
          </w:r>
        </w:p>
        <w:p w14:paraId="617C6DA2" w14:textId="77777777" w:rsidR="00EC379B" w:rsidRDefault="00EC379B" w:rsidP="009C1E9A">
          <w:pPr>
            <w:pStyle w:val="Footer"/>
            <w:tabs>
              <w:tab w:val="clear" w:pos="8640"/>
              <w:tab w:val="right" w:pos="9360"/>
            </w:tabs>
            <w:jc w:val="center"/>
          </w:pPr>
        </w:p>
      </w:tc>
    </w:tr>
  </w:tbl>
  <w:p w14:paraId="360CDBC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ECA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83C5F" w14:textId="77777777" w:rsidR="00000000" w:rsidRDefault="002451A4">
      <w:r>
        <w:separator/>
      </w:r>
    </w:p>
  </w:footnote>
  <w:footnote w:type="continuationSeparator" w:id="0">
    <w:p w14:paraId="423AB742" w14:textId="77777777" w:rsidR="00000000" w:rsidRDefault="0024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9EA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D9E8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CAEE6"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4564"/>
    <w:multiLevelType w:val="hybridMultilevel"/>
    <w:tmpl w:val="A64EAD9A"/>
    <w:lvl w:ilvl="0" w:tplc="4DD444FA">
      <w:start w:val="1"/>
      <w:numFmt w:val="bullet"/>
      <w:lvlText w:val=""/>
      <w:lvlJc w:val="left"/>
      <w:pPr>
        <w:tabs>
          <w:tab w:val="num" w:pos="720"/>
        </w:tabs>
        <w:ind w:left="720" w:hanging="360"/>
      </w:pPr>
      <w:rPr>
        <w:rFonts w:ascii="Symbol" w:hAnsi="Symbol" w:hint="default"/>
      </w:rPr>
    </w:lvl>
    <w:lvl w:ilvl="1" w:tplc="918E91A8" w:tentative="1">
      <w:start w:val="1"/>
      <w:numFmt w:val="bullet"/>
      <w:lvlText w:val="o"/>
      <w:lvlJc w:val="left"/>
      <w:pPr>
        <w:ind w:left="1440" w:hanging="360"/>
      </w:pPr>
      <w:rPr>
        <w:rFonts w:ascii="Courier New" w:hAnsi="Courier New" w:cs="Courier New" w:hint="default"/>
      </w:rPr>
    </w:lvl>
    <w:lvl w:ilvl="2" w:tplc="5AFAA6B8" w:tentative="1">
      <w:start w:val="1"/>
      <w:numFmt w:val="bullet"/>
      <w:lvlText w:val=""/>
      <w:lvlJc w:val="left"/>
      <w:pPr>
        <w:ind w:left="2160" w:hanging="360"/>
      </w:pPr>
      <w:rPr>
        <w:rFonts w:ascii="Wingdings" w:hAnsi="Wingdings" w:hint="default"/>
      </w:rPr>
    </w:lvl>
    <w:lvl w:ilvl="3" w:tplc="4D9CD1D6" w:tentative="1">
      <w:start w:val="1"/>
      <w:numFmt w:val="bullet"/>
      <w:lvlText w:val=""/>
      <w:lvlJc w:val="left"/>
      <w:pPr>
        <w:ind w:left="2880" w:hanging="360"/>
      </w:pPr>
      <w:rPr>
        <w:rFonts w:ascii="Symbol" w:hAnsi="Symbol" w:hint="default"/>
      </w:rPr>
    </w:lvl>
    <w:lvl w:ilvl="4" w:tplc="75166500" w:tentative="1">
      <w:start w:val="1"/>
      <w:numFmt w:val="bullet"/>
      <w:lvlText w:val="o"/>
      <w:lvlJc w:val="left"/>
      <w:pPr>
        <w:ind w:left="3600" w:hanging="360"/>
      </w:pPr>
      <w:rPr>
        <w:rFonts w:ascii="Courier New" w:hAnsi="Courier New" w:cs="Courier New" w:hint="default"/>
      </w:rPr>
    </w:lvl>
    <w:lvl w:ilvl="5" w:tplc="248A3FC4" w:tentative="1">
      <w:start w:val="1"/>
      <w:numFmt w:val="bullet"/>
      <w:lvlText w:val=""/>
      <w:lvlJc w:val="left"/>
      <w:pPr>
        <w:ind w:left="4320" w:hanging="360"/>
      </w:pPr>
      <w:rPr>
        <w:rFonts w:ascii="Wingdings" w:hAnsi="Wingdings" w:hint="default"/>
      </w:rPr>
    </w:lvl>
    <w:lvl w:ilvl="6" w:tplc="B3DE0300" w:tentative="1">
      <w:start w:val="1"/>
      <w:numFmt w:val="bullet"/>
      <w:lvlText w:val=""/>
      <w:lvlJc w:val="left"/>
      <w:pPr>
        <w:ind w:left="5040" w:hanging="360"/>
      </w:pPr>
      <w:rPr>
        <w:rFonts w:ascii="Symbol" w:hAnsi="Symbol" w:hint="default"/>
      </w:rPr>
    </w:lvl>
    <w:lvl w:ilvl="7" w:tplc="70ECA8C0" w:tentative="1">
      <w:start w:val="1"/>
      <w:numFmt w:val="bullet"/>
      <w:lvlText w:val="o"/>
      <w:lvlJc w:val="left"/>
      <w:pPr>
        <w:ind w:left="5760" w:hanging="360"/>
      </w:pPr>
      <w:rPr>
        <w:rFonts w:ascii="Courier New" w:hAnsi="Courier New" w:cs="Courier New" w:hint="default"/>
      </w:rPr>
    </w:lvl>
    <w:lvl w:ilvl="8" w:tplc="5C64F388" w:tentative="1">
      <w:start w:val="1"/>
      <w:numFmt w:val="bullet"/>
      <w:lvlText w:val=""/>
      <w:lvlJc w:val="left"/>
      <w:pPr>
        <w:ind w:left="6480" w:hanging="360"/>
      </w:pPr>
      <w:rPr>
        <w:rFonts w:ascii="Wingdings" w:hAnsi="Wingdings" w:hint="default"/>
      </w:rPr>
    </w:lvl>
  </w:abstractNum>
  <w:abstractNum w:abstractNumId="1" w15:restartNumberingAfterBreak="0">
    <w:nsid w:val="1B9A1578"/>
    <w:multiLevelType w:val="hybridMultilevel"/>
    <w:tmpl w:val="87F89586"/>
    <w:lvl w:ilvl="0" w:tplc="016008A0">
      <w:start w:val="1"/>
      <w:numFmt w:val="bullet"/>
      <w:lvlText w:val=""/>
      <w:lvlJc w:val="left"/>
      <w:pPr>
        <w:tabs>
          <w:tab w:val="num" w:pos="720"/>
        </w:tabs>
        <w:ind w:left="720" w:hanging="360"/>
      </w:pPr>
      <w:rPr>
        <w:rFonts w:ascii="Symbol" w:hAnsi="Symbol" w:hint="default"/>
      </w:rPr>
    </w:lvl>
    <w:lvl w:ilvl="1" w:tplc="658E6246">
      <w:start w:val="1"/>
      <w:numFmt w:val="bullet"/>
      <w:lvlText w:val="o"/>
      <w:lvlJc w:val="left"/>
      <w:pPr>
        <w:ind w:left="1440" w:hanging="360"/>
      </w:pPr>
      <w:rPr>
        <w:rFonts w:ascii="Courier New" w:hAnsi="Courier New" w:cs="Courier New" w:hint="default"/>
      </w:rPr>
    </w:lvl>
    <w:lvl w:ilvl="2" w:tplc="97FE608C" w:tentative="1">
      <w:start w:val="1"/>
      <w:numFmt w:val="bullet"/>
      <w:lvlText w:val=""/>
      <w:lvlJc w:val="left"/>
      <w:pPr>
        <w:ind w:left="2160" w:hanging="360"/>
      </w:pPr>
      <w:rPr>
        <w:rFonts w:ascii="Wingdings" w:hAnsi="Wingdings" w:hint="default"/>
      </w:rPr>
    </w:lvl>
    <w:lvl w:ilvl="3" w:tplc="4432AB5E" w:tentative="1">
      <w:start w:val="1"/>
      <w:numFmt w:val="bullet"/>
      <w:lvlText w:val=""/>
      <w:lvlJc w:val="left"/>
      <w:pPr>
        <w:ind w:left="2880" w:hanging="360"/>
      </w:pPr>
      <w:rPr>
        <w:rFonts w:ascii="Symbol" w:hAnsi="Symbol" w:hint="default"/>
      </w:rPr>
    </w:lvl>
    <w:lvl w:ilvl="4" w:tplc="E9E8E77A" w:tentative="1">
      <w:start w:val="1"/>
      <w:numFmt w:val="bullet"/>
      <w:lvlText w:val="o"/>
      <w:lvlJc w:val="left"/>
      <w:pPr>
        <w:ind w:left="3600" w:hanging="360"/>
      </w:pPr>
      <w:rPr>
        <w:rFonts w:ascii="Courier New" w:hAnsi="Courier New" w:cs="Courier New" w:hint="default"/>
      </w:rPr>
    </w:lvl>
    <w:lvl w:ilvl="5" w:tplc="DECA6D48" w:tentative="1">
      <w:start w:val="1"/>
      <w:numFmt w:val="bullet"/>
      <w:lvlText w:val=""/>
      <w:lvlJc w:val="left"/>
      <w:pPr>
        <w:ind w:left="4320" w:hanging="360"/>
      </w:pPr>
      <w:rPr>
        <w:rFonts w:ascii="Wingdings" w:hAnsi="Wingdings" w:hint="default"/>
      </w:rPr>
    </w:lvl>
    <w:lvl w:ilvl="6" w:tplc="FB7A10EE" w:tentative="1">
      <w:start w:val="1"/>
      <w:numFmt w:val="bullet"/>
      <w:lvlText w:val=""/>
      <w:lvlJc w:val="left"/>
      <w:pPr>
        <w:ind w:left="5040" w:hanging="360"/>
      </w:pPr>
      <w:rPr>
        <w:rFonts w:ascii="Symbol" w:hAnsi="Symbol" w:hint="default"/>
      </w:rPr>
    </w:lvl>
    <w:lvl w:ilvl="7" w:tplc="BCEE760A" w:tentative="1">
      <w:start w:val="1"/>
      <w:numFmt w:val="bullet"/>
      <w:lvlText w:val="o"/>
      <w:lvlJc w:val="left"/>
      <w:pPr>
        <w:ind w:left="5760" w:hanging="360"/>
      </w:pPr>
      <w:rPr>
        <w:rFonts w:ascii="Courier New" w:hAnsi="Courier New" w:cs="Courier New" w:hint="default"/>
      </w:rPr>
    </w:lvl>
    <w:lvl w:ilvl="8" w:tplc="F0801456" w:tentative="1">
      <w:start w:val="1"/>
      <w:numFmt w:val="bullet"/>
      <w:lvlText w:val=""/>
      <w:lvlJc w:val="left"/>
      <w:pPr>
        <w:ind w:left="6480" w:hanging="360"/>
      </w:pPr>
      <w:rPr>
        <w:rFonts w:ascii="Wingdings" w:hAnsi="Wingdings" w:hint="default"/>
      </w:rPr>
    </w:lvl>
  </w:abstractNum>
  <w:abstractNum w:abstractNumId="2" w15:restartNumberingAfterBreak="0">
    <w:nsid w:val="291257BD"/>
    <w:multiLevelType w:val="hybridMultilevel"/>
    <w:tmpl w:val="7C1EFA50"/>
    <w:lvl w:ilvl="0" w:tplc="4CAA6FE0">
      <w:start w:val="1"/>
      <w:numFmt w:val="bullet"/>
      <w:lvlText w:val=""/>
      <w:lvlJc w:val="left"/>
      <w:pPr>
        <w:tabs>
          <w:tab w:val="num" w:pos="780"/>
        </w:tabs>
        <w:ind w:left="780" w:hanging="360"/>
      </w:pPr>
      <w:rPr>
        <w:rFonts w:ascii="Symbol" w:hAnsi="Symbol" w:hint="default"/>
      </w:rPr>
    </w:lvl>
    <w:lvl w:ilvl="1" w:tplc="40ECE9AA" w:tentative="1">
      <w:start w:val="1"/>
      <w:numFmt w:val="bullet"/>
      <w:lvlText w:val="o"/>
      <w:lvlJc w:val="left"/>
      <w:pPr>
        <w:ind w:left="1500" w:hanging="360"/>
      </w:pPr>
      <w:rPr>
        <w:rFonts w:ascii="Courier New" w:hAnsi="Courier New" w:cs="Courier New" w:hint="default"/>
      </w:rPr>
    </w:lvl>
    <w:lvl w:ilvl="2" w:tplc="A17A74E2" w:tentative="1">
      <w:start w:val="1"/>
      <w:numFmt w:val="bullet"/>
      <w:lvlText w:val=""/>
      <w:lvlJc w:val="left"/>
      <w:pPr>
        <w:ind w:left="2220" w:hanging="360"/>
      </w:pPr>
      <w:rPr>
        <w:rFonts w:ascii="Wingdings" w:hAnsi="Wingdings" w:hint="default"/>
      </w:rPr>
    </w:lvl>
    <w:lvl w:ilvl="3" w:tplc="9B86EC94" w:tentative="1">
      <w:start w:val="1"/>
      <w:numFmt w:val="bullet"/>
      <w:lvlText w:val=""/>
      <w:lvlJc w:val="left"/>
      <w:pPr>
        <w:ind w:left="2940" w:hanging="360"/>
      </w:pPr>
      <w:rPr>
        <w:rFonts w:ascii="Symbol" w:hAnsi="Symbol" w:hint="default"/>
      </w:rPr>
    </w:lvl>
    <w:lvl w:ilvl="4" w:tplc="96862FFA" w:tentative="1">
      <w:start w:val="1"/>
      <w:numFmt w:val="bullet"/>
      <w:lvlText w:val="o"/>
      <w:lvlJc w:val="left"/>
      <w:pPr>
        <w:ind w:left="3660" w:hanging="360"/>
      </w:pPr>
      <w:rPr>
        <w:rFonts w:ascii="Courier New" w:hAnsi="Courier New" w:cs="Courier New" w:hint="default"/>
      </w:rPr>
    </w:lvl>
    <w:lvl w:ilvl="5" w:tplc="0CA682E0" w:tentative="1">
      <w:start w:val="1"/>
      <w:numFmt w:val="bullet"/>
      <w:lvlText w:val=""/>
      <w:lvlJc w:val="left"/>
      <w:pPr>
        <w:ind w:left="4380" w:hanging="360"/>
      </w:pPr>
      <w:rPr>
        <w:rFonts w:ascii="Wingdings" w:hAnsi="Wingdings" w:hint="default"/>
      </w:rPr>
    </w:lvl>
    <w:lvl w:ilvl="6" w:tplc="4404A772" w:tentative="1">
      <w:start w:val="1"/>
      <w:numFmt w:val="bullet"/>
      <w:lvlText w:val=""/>
      <w:lvlJc w:val="left"/>
      <w:pPr>
        <w:ind w:left="5100" w:hanging="360"/>
      </w:pPr>
      <w:rPr>
        <w:rFonts w:ascii="Symbol" w:hAnsi="Symbol" w:hint="default"/>
      </w:rPr>
    </w:lvl>
    <w:lvl w:ilvl="7" w:tplc="39E67F62" w:tentative="1">
      <w:start w:val="1"/>
      <w:numFmt w:val="bullet"/>
      <w:lvlText w:val="o"/>
      <w:lvlJc w:val="left"/>
      <w:pPr>
        <w:ind w:left="5820" w:hanging="360"/>
      </w:pPr>
      <w:rPr>
        <w:rFonts w:ascii="Courier New" w:hAnsi="Courier New" w:cs="Courier New" w:hint="default"/>
      </w:rPr>
    </w:lvl>
    <w:lvl w:ilvl="8" w:tplc="72B87F22"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7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1134"/>
    <w:rsid w:val="000236C1"/>
    <w:rsid w:val="000236EC"/>
    <w:rsid w:val="0002413D"/>
    <w:rsid w:val="000249F2"/>
    <w:rsid w:val="00027E81"/>
    <w:rsid w:val="00030AD8"/>
    <w:rsid w:val="0003107A"/>
    <w:rsid w:val="00031C95"/>
    <w:rsid w:val="000330D4"/>
    <w:rsid w:val="0003572D"/>
    <w:rsid w:val="00035DB0"/>
    <w:rsid w:val="00037088"/>
    <w:rsid w:val="00037B1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4A0C"/>
    <w:rsid w:val="000A54E0"/>
    <w:rsid w:val="000A72C4"/>
    <w:rsid w:val="000B1486"/>
    <w:rsid w:val="000B3E61"/>
    <w:rsid w:val="000B54AF"/>
    <w:rsid w:val="000B6090"/>
    <w:rsid w:val="000B6FEE"/>
    <w:rsid w:val="000C12C4"/>
    <w:rsid w:val="000C49DA"/>
    <w:rsid w:val="000C4B3D"/>
    <w:rsid w:val="000C6DC1"/>
    <w:rsid w:val="000C6E20"/>
    <w:rsid w:val="000C702E"/>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5D37"/>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5398"/>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51A4"/>
    <w:rsid w:val="0024691D"/>
    <w:rsid w:val="00247D27"/>
    <w:rsid w:val="00250A50"/>
    <w:rsid w:val="00251ED5"/>
    <w:rsid w:val="00255EB6"/>
    <w:rsid w:val="00257429"/>
    <w:rsid w:val="00260FA4"/>
    <w:rsid w:val="00261183"/>
    <w:rsid w:val="00261A8C"/>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6C7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2C62"/>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50D"/>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1CCC"/>
    <w:rsid w:val="003C25EA"/>
    <w:rsid w:val="003C36FD"/>
    <w:rsid w:val="003C664C"/>
    <w:rsid w:val="003D0FEA"/>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7E77"/>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1073"/>
    <w:rsid w:val="005336BD"/>
    <w:rsid w:val="00534A49"/>
    <w:rsid w:val="005363BB"/>
    <w:rsid w:val="00541B98"/>
    <w:rsid w:val="00543374"/>
    <w:rsid w:val="00543A0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2846"/>
    <w:rsid w:val="00622E13"/>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7553"/>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719C"/>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D40"/>
    <w:rsid w:val="00711E3D"/>
    <w:rsid w:val="00711E85"/>
    <w:rsid w:val="00712DDA"/>
    <w:rsid w:val="00717739"/>
    <w:rsid w:val="00717DE4"/>
    <w:rsid w:val="00721724"/>
    <w:rsid w:val="00722EC5"/>
    <w:rsid w:val="00723326"/>
    <w:rsid w:val="00724252"/>
    <w:rsid w:val="00727E7A"/>
    <w:rsid w:val="00731006"/>
    <w:rsid w:val="0073163C"/>
    <w:rsid w:val="00731DE3"/>
    <w:rsid w:val="00733AA6"/>
    <w:rsid w:val="00735B9D"/>
    <w:rsid w:val="007365A5"/>
    <w:rsid w:val="00736FB0"/>
    <w:rsid w:val="007404BC"/>
    <w:rsid w:val="00740D13"/>
    <w:rsid w:val="00740F5F"/>
    <w:rsid w:val="00742794"/>
    <w:rsid w:val="00743C4C"/>
    <w:rsid w:val="007445B7"/>
    <w:rsid w:val="00744920"/>
    <w:rsid w:val="00745616"/>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A19"/>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07E"/>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5A26"/>
    <w:rsid w:val="008A6418"/>
    <w:rsid w:val="008B05D8"/>
    <w:rsid w:val="008B0B3D"/>
    <w:rsid w:val="008B2B1A"/>
    <w:rsid w:val="008B3428"/>
    <w:rsid w:val="008B7785"/>
    <w:rsid w:val="008C0809"/>
    <w:rsid w:val="008C132C"/>
    <w:rsid w:val="008C3FD0"/>
    <w:rsid w:val="008D27A5"/>
    <w:rsid w:val="008D2AAB"/>
    <w:rsid w:val="008D309C"/>
    <w:rsid w:val="008D4486"/>
    <w:rsid w:val="008D4E18"/>
    <w:rsid w:val="008D58F9"/>
    <w:rsid w:val="008E3338"/>
    <w:rsid w:val="008E47BE"/>
    <w:rsid w:val="008E7C45"/>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39A"/>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2892"/>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2EA0"/>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4FAE"/>
    <w:rsid w:val="00D76631"/>
    <w:rsid w:val="00D768B7"/>
    <w:rsid w:val="00D77492"/>
    <w:rsid w:val="00D80CF3"/>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315"/>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4554"/>
    <w:rsid w:val="00E15F90"/>
    <w:rsid w:val="00E16D3E"/>
    <w:rsid w:val="00E17167"/>
    <w:rsid w:val="00E20520"/>
    <w:rsid w:val="00E21D55"/>
    <w:rsid w:val="00E21FDC"/>
    <w:rsid w:val="00E2551E"/>
    <w:rsid w:val="00E26B13"/>
    <w:rsid w:val="00E27E5A"/>
    <w:rsid w:val="00E31135"/>
    <w:rsid w:val="00E317BA"/>
    <w:rsid w:val="00E3469B"/>
    <w:rsid w:val="00E35F2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0AF9"/>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75"/>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29B80E-0454-4CAB-9D87-430663C8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E7C45"/>
    <w:rPr>
      <w:sz w:val="16"/>
      <w:szCs w:val="16"/>
    </w:rPr>
  </w:style>
  <w:style w:type="paragraph" w:styleId="CommentText">
    <w:name w:val="annotation text"/>
    <w:basedOn w:val="Normal"/>
    <w:link w:val="CommentTextChar"/>
    <w:semiHidden/>
    <w:unhideWhenUsed/>
    <w:rsid w:val="008E7C45"/>
    <w:rPr>
      <w:sz w:val="20"/>
      <w:szCs w:val="20"/>
    </w:rPr>
  </w:style>
  <w:style w:type="character" w:customStyle="1" w:styleId="CommentTextChar">
    <w:name w:val="Comment Text Char"/>
    <w:basedOn w:val="DefaultParagraphFont"/>
    <w:link w:val="CommentText"/>
    <w:semiHidden/>
    <w:rsid w:val="008E7C45"/>
  </w:style>
  <w:style w:type="paragraph" w:styleId="CommentSubject">
    <w:name w:val="annotation subject"/>
    <w:basedOn w:val="CommentText"/>
    <w:next w:val="CommentText"/>
    <w:link w:val="CommentSubjectChar"/>
    <w:semiHidden/>
    <w:unhideWhenUsed/>
    <w:rsid w:val="008E7C45"/>
    <w:rPr>
      <w:b/>
      <w:bCs/>
    </w:rPr>
  </w:style>
  <w:style w:type="character" w:customStyle="1" w:styleId="CommentSubjectChar">
    <w:name w:val="Comment Subject Char"/>
    <w:basedOn w:val="CommentTextChar"/>
    <w:link w:val="CommentSubject"/>
    <w:semiHidden/>
    <w:rsid w:val="008E7C45"/>
    <w:rPr>
      <w:b/>
      <w:bCs/>
    </w:rPr>
  </w:style>
  <w:style w:type="paragraph" w:styleId="Revision">
    <w:name w:val="Revision"/>
    <w:hidden/>
    <w:uiPriority w:val="99"/>
    <w:semiHidden/>
    <w:rsid w:val="008E7C45"/>
    <w:rPr>
      <w:sz w:val="24"/>
      <w:szCs w:val="24"/>
    </w:rPr>
  </w:style>
  <w:style w:type="character" w:styleId="Hyperlink">
    <w:name w:val="Hyperlink"/>
    <w:basedOn w:val="DefaultParagraphFont"/>
    <w:unhideWhenUsed/>
    <w:rsid w:val="00851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3953</Characters>
  <Application>Microsoft Office Word</Application>
  <DocSecurity>4</DocSecurity>
  <Lines>88</Lines>
  <Paragraphs>26</Paragraphs>
  <ScaleCrop>false</ScaleCrop>
  <HeadingPairs>
    <vt:vector size="2" baseType="variant">
      <vt:variant>
        <vt:lpstr>Title</vt:lpstr>
      </vt:variant>
      <vt:variant>
        <vt:i4>1</vt:i4>
      </vt:variant>
    </vt:vector>
  </HeadingPairs>
  <TitlesOfParts>
    <vt:vector size="1" baseType="lpstr">
      <vt:lpstr>BA - SB01521 (Committee Report (Unamended))</vt:lpstr>
    </vt:vector>
  </TitlesOfParts>
  <Company>State of Texas</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26965</dc:subject>
  <dc:creator>State of Texas</dc:creator>
  <dc:description>SB 1521 by Zaffirini-(H)Higher Education</dc:description>
  <cp:lastModifiedBy>Damian Duarte</cp:lastModifiedBy>
  <cp:revision>2</cp:revision>
  <cp:lastPrinted>2003-11-26T17:21:00Z</cp:lastPrinted>
  <dcterms:created xsi:type="dcterms:W3CDTF">2021-05-17T22:46:00Z</dcterms:created>
  <dcterms:modified xsi:type="dcterms:W3CDTF">2021-05-17T22:46:00Z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21.134.1283</vt:lpwstr>
  </property>
</Properties>
</file>